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25C02" w:rsidRDefault="00625C02">
      <w:pPr>
        <w:pStyle w:val="Heading1"/>
        <w:spacing w:before="120" w:after="120" w:line="360" w:lineRule="auto"/>
        <w:jc w:val="center"/>
        <w:rPr>
          <w:b/>
          <w:sz w:val="22"/>
          <w:szCs w:val="22"/>
        </w:rPr>
      </w:pPr>
      <w:bookmarkStart w:id="0" w:name="_heading=h.2c4hykib492s" w:colFirst="0" w:colLast="0"/>
      <w:bookmarkEnd w:id="0"/>
    </w:p>
    <w:p w14:paraId="00000002" w14:textId="77777777" w:rsidR="00625C02" w:rsidRDefault="00625C02">
      <w:pPr>
        <w:pStyle w:val="Heading1"/>
        <w:spacing w:before="120" w:after="120" w:line="360" w:lineRule="auto"/>
        <w:jc w:val="center"/>
        <w:rPr>
          <w:b/>
          <w:sz w:val="22"/>
          <w:szCs w:val="22"/>
        </w:rPr>
      </w:pPr>
    </w:p>
    <w:p w14:paraId="00000003" w14:textId="77777777" w:rsidR="00625C02" w:rsidRDefault="00625C02">
      <w:pPr>
        <w:pStyle w:val="Heading1"/>
        <w:spacing w:before="120" w:after="120" w:line="360" w:lineRule="auto"/>
        <w:jc w:val="center"/>
        <w:rPr>
          <w:b/>
          <w:sz w:val="22"/>
          <w:szCs w:val="22"/>
        </w:rPr>
      </w:pPr>
    </w:p>
    <w:p w14:paraId="00000004" w14:textId="77777777" w:rsidR="00625C02" w:rsidRDefault="00625C02">
      <w:pPr>
        <w:pStyle w:val="Heading1"/>
        <w:spacing w:before="120" w:after="120" w:line="360" w:lineRule="auto"/>
        <w:jc w:val="center"/>
        <w:rPr>
          <w:b/>
          <w:sz w:val="22"/>
          <w:szCs w:val="22"/>
        </w:rPr>
      </w:pPr>
    </w:p>
    <w:p w14:paraId="00000005" w14:textId="77777777" w:rsidR="00625C02" w:rsidRDefault="00625C02">
      <w:pPr>
        <w:pStyle w:val="Heading1"/>
        <w:spacing w:before="120" w:after="120" w:line="360" w:lineRule="auto"/>
        <w:jc w:val="center"/>
        <w:rPr>
          <w:b/>
          <w:sz w:val="22"/>
          <w:szCs w:val="22"/>
        </w:rPr>
      </w:pPr>
    </w:p>
    <w:p w14:paraId="00000006" w14:textId="77777777" w:rsidR="00625C02" w:rsidRDefault="00625C02">
      <w:pPr>
        <w:pStyle w:val="Heading1"/>
        <w:spacing w:before="120" w:after="120" w:line="360" w:lineRule="auto"/>
        <w:jc w:val="center"/>
        <w:rPr>
          <w:b/>
          <w:sz w:val="22"/>
          <w:szCs w:val="22"/>
        </w:rPr>
      </w:pPr>
    </w:p>
    <w:p w14:paraId="00000007" w14:textId="636499A1" w:rsidR="00625C02" w:rsidRPr="00D04BCB" w:rsidRDefault="00A22398">
      <w:pPr>
        <w:pStyle w:val="Heading1"/>
        <w:spacing w:before="120" w:after="120" w:line="360" w:lineRule="auto"/>
        <w:jc w:val="center"/>
        <w:rPr>
          <w:rFonts w:asciiTheme="minorBidi" w:hAnsiTheme="minorBidi" w:cstheme="minorBidi"/>
          <w:b/>
        </w:rPr>
      </w:pPr>
      <w:bookmarkStart w:id="1" w:name="_Toc210130057"/>
      <w:r w:rsidRPr="00D04BCB">
        <w:rPr>
          <w:rFonts w:asciiTheme="minorBidi" w:hAnsiTheme="minorBidi" w:cstheme="minorBidi"/>
          <w:b/>
        </w:rPr>
        <w:t>TRANSFORMING CARE IN AMD AND D</w:t>
      </w:r>
      <w:r w:rsidR="009A7B51">
        <w:rPr>
          <w:rFonts w:asciiTheme="minorBidi" w:hAnsiTheme="minorBidi" w:cstheme="minorBidi"/>
          <w:b/>
        </w:rPr>
        <w:t>R</w:t>
      </w:r>
      <w:r w:rsidRPr="00D04BCB">
        <w:rPr>
          <w:rFonts w:asciiTheme="minorBidi" w:hAnsiTheme="minorBidi" w:cstheme="minorBidi"/>
          <w:b/>
        </w:rPr>
        <w:t xml:space="preserve">: </w:t>
      </w:r>
      <w:r w:rsidRPr="00D04BCB">
        <w:rPr>
          <w:rFonts w:asciiTheme="minorBidi" w:hAnsiTheme="minorBidi" w:cstheme="minorBidi"/>
          <w:b/>
        </w:rPr>
        <w:br/>
        <w:t>A CALL-TO-ACTION TO PRESERVE VISION</w:t>
      </w:r>
      <w:bookmarkEnd w:id="1"/>
    </w:p>
    <w:p w14:paraId="00000008" w14:textId="77777777" w:rsidR="00625C02" w:rsidRPr="00D04BCB" w:rsidRDefault="00A22398">
      <w:pPr>
        <w:pStyle w:val="Subtitle"/>
        <w:spacing w:before="120" w:after="120" w:line="360" w:lineRule="auto"/>
        <w:jc w:val="center"/>
        <w:rPr>
          <w:rFonts w:asciiTheme="minorBidi" w:hAnsiTheme="minorBidi" w:cstheme="minorBidi"/>
        </w:rPr>
      </w:pPr>
      <w:r w:rsidRPr="00D04BCB">
        <w:rPr>
          <w:rFonts w:asciiTheme="minorBidi" w:hAnsiTheme="minorBidi" w:cstheme="minorBidi"/>
        </w:rPr>
        <w:t xml:space="preserve">UNIFYING ADVOCATES TO EMPOWER AND IGNITE </w:t>
      </w:r>
      <w:r w:rsidRPr="00D04BCB">
        <w:rPr>
          <w:rFonts w:asciiTheme="minorBidi" w:hAnsiTheme="minorBidi" w:cstheme="minorBidi"/>
        </w:rPr>
        <w:br/>
        <w:t>CHANGE ACROSS CENTRAL AND EAST EUROPE​</w:t>
      </w:r>
    </w:p>
    <w:p w14:paraId="00000009" w14:textId="77777777" w:rsidR="00625C02" w:rsidRPr="00D04BCB" w:rsidRDefault="00A22398">
      <w:pPr>
        <w:pStyle w:val="Subtitle"/>
        <w:spacing w:before="120" w:after="120" w:line="360" w:lineRule="auto"/>
        <w:jc w:val="center"/>
        <w:rPr>
          <w:rFonts w:asciiTheme="minorBidi" w:hAnsiTheme="minorBidi" w:cstheme="minorBidi"/>
        </w:rPr>
      </w:pPr>
      <w:r w:rsidRPr="00D04BCB">
        <w:rPr>
          <w:rFonts w:asciiTheme="minorBidi" w:hAnsiTheme="minorBidi" w:cstheme="minorBidi"/>
        </w:rPr>
        <w:t>White Paper 2025</w:t>
      </w:r>
    </w:p>
    <w:p w14:paraId="0000000A" w14:textId="77777777" w:rsidR="00625C02" w:rsidRDefault="00625C02"/>
    <w:p w14:paraId="00000013" w14:textId="77777777" w:rsidR="00625C02" w:rsidRDefault="00625C02">
      <w:pPr>
        <w:keepNext/>
        <w:keepLines/>
        <w:pBdr>
          <w:top w:val="nil"/>
          <w:left w:val="nil"/>
          <w:bottom w:val="nil"/>
          <w:right w:val="nil"/>
          <w:between w:val="nil"/>
        </w:pBdr>
        <w:spacing w:before="120" w:after="120" w:line="360" w:lineRule="auto"/>
        <w:rPr>
          <w:rFonts w:ascii="Arial" w:eastAsia="Arial" w:hAnsi="Arial" w:cs="Arial"/>
          <w:b/>
          <w:color w:val="0F4761"/>
        </w:rPr>
      </w:pPr>
    </w:p>
    <w:p w14:paraId="06651863"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1BE82E14"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697F9336"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41987680"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50BF6947"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7CF8B34C"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5809179F"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695F354D"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27305C79"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26BEC665"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14F3EB66"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79573AD5" w14:textId="77777777" w:rsidR="00CC0FD1" w:rsidRDefault="00CC0FD1">
      <w:pPr>
        <w:keepNext/>
        <w:keepLines/>
        <w:pBdr>
          <w:top w:val="nil"/>
          <w:left w:val="nil"/>
          <w:bottom w:val="nil"/>
          <w:right w:val="nil"/>
          <w:between w:val="nil"/>
        </w:pBdr>
        <w:spacing w:before="120" w:after="120" w:line="360" w:lineRule="auto"/>
        <w:rPr>
          <w:rFonts w:ascii="Arial" w:eastAsia="Arial" w:hAnsi="Arial" w:cs="Arial"/>
          <w:b/>
          <w:color w:val="0F4761"/>
        </w:rPr>
      </w:pPr>
    </w:p>
    <w:p w14:paraId="00000014" w14:textId="77777777" w:rsidR="00625C02" w:rsidRDefault="00625C02"/>
    <w:p w14:paraId="00000015" w14:textId="77777777" w:rsidR="00625C02" w:rsidRDefault="00625C02"/>
    <w:p w14:paraId="00000016" w14:textId="77777777" w:rsidR="00625C02" w:rsidRDefault="00625C02"/>
    <w:p w14:paraId="00000024" w14:textId="77777777" w:rsidR="00625C02" w:rsidRPr="002C0227" w:rsidRDefault="00A22398">
      <w:pPr>
        <w:spacing w:before="120" w:after="120" w:line="360" w:lineRule="auto"/>
        <w:rPr>
          <w:rFonts w:asciiTheme="minorBidi" w:eastAsia="Play" w:hAnsiTheme="minorBidi" w:cstheme="minorBidi"/>
          <w:b/>
          <w:color w:val="0F4761"/>
          <w:sz w:val="28"/>
          <w:szCs w:val="28"/>
        </w:rPr>
      </w:pPr>
      <w:r w:rsidRPr="002C0227">
        <w:rPr>
          <w:rFonts w:asciiTheme="minorBidi" w:eastAsia="Play" w:hAnsiTheme="minorBidi" w:cstheme="minorBidi"/>
          <w:b/>
          <w:color w:val="0F4761"/>
          <w:sz w:val="28"/>
          <w:szCs w:val="28"/>
        </w:rPr>
        <w:lastRenderedPageBreak/>
        <w:t>Contents</w:t>
      </w:r>
    </w:p>
    <w:sdt>
      <w:sdtPr>
        <w:rPr>
          <w:rFonts w:asciiTheme="minorBidi" w:hAnsiTheme="minorBidi" w:cstheme="minorBidi"/>
        </w:rPr>
        <w:id w:val="-3436122"/>
        <w:docPartObj>
          <w:docPartGallery w:val="Table of Contents"/>
          <w:docPartUnique/>
        </w:docPartObj>
      </w:sdtPr>
      <w:sdtContent>
        <w:p w14:paraId="22BD101B" w14:textId="302F0FB1" w:rsidR="00D15DC6" w:rsidRDefault="00A22398">
          <w:pPr>
            <w:pStyle w:val="TOC1"/>
            <w:tabs>
              <w:tab w:val="right" w:leader="dot" w:pos="9783"/>
            </w:tabs>
            <w:rPr>
              <w:rFonts w:asciiTheme="minorHAnsi" w:eastAsiaTheme="minorEastAsia" w:hAnsiTheme="minorHAnsi" w:cstheme="minorBidi"/>
              <w:noProof/>
              <w:kern w:val="2"/>
              <w:sz w:val="24"/>
              <w:szCs w:val="24"/>
              <w:lang w:val="en-US" w:eastAsia="en-US"/>
              <w14:ligatures w14:val="standardContextual"/>
            </w:rPr>
          </w:pPr>
          <w:r w:rsidRPr="002C0227">
            <w:rPr>
              <w:rFonts w:asciiTheme="minorBidi" w:hAnsiTheme="minorBidi" w:cstheme="minorBidi"/>
            </w:rPr>
            <w:fldChar w:fldCharType="begin"/>
          </w:r>
          <w:r w:rsidRPr="002C0227">
            <w:rPr>
              <w:rFonts w:asciiTheme="minorBidi" w:hAnsiTheme="minorBidi" w:cstheme="minorBidi"/>
            </w:rPr>
            <w:instrText xml:space="preserve"> TOC \h \u \z \t "Heading 1,1,Heading 2,2,Heading 3,3,"</w:instrText>
          </w:r>
          <w:r w:rsidRPr="002C0227">
            <w:rPr>
              <w:rFonts w:asciiTheme="minorBidi" w:hAnsiTheme="minorBidi" w:cstheme="minorBidi"/>
            </w:rPr>
            <w:fldChar w:fldCharType="separate"/>
          </w:r>
          <w:hyperlink w:anchor="_Toc210130057" w:history="1">
            <w:r w:rsidR="00D15DC6" w:rsidRPr="004335E1">
              <w:rPr>
                <w:rStyle w:val="Hyperlink"/>
                <w:rFonts w:asciiTheme="minorBidi" w:hAnsiTheme="minorBidi"/>
                <w:b/>
                <w:noProof/>
              </w:rPr>
              <w:t>TRANSFORMING CARE IN AMD AND DR:  A CALL-TO-ACTION TO PRESERVE VISION</w:t>
            </w:r>
            <w:r w:rsidR="00D15DC6">
              <w:rPr>
                <w:noProof/>
                <w:webHidden/>
              </w:rPr>
              <w:tab/>
            </w:r>
            <w:r w:rsidR="00D15DC6">
              <w:rPr>
                <w:noProof/>
                <w:webHidden/>
              </w:rPr>
              <w:fldChar w:fldCharType="begin"/>
            </w:r>
            <w:r w:rsidR="00D15DC6">
              <w:rPr>
                <w:noProof/>
                <w:webHidden/>
              </w:rPr>
              <w:instrText xml:space="preserve"> PAGEREF _Toc210130057 \h </w:instrText>
            </w:r>
            <w:r w:rsidR="00D15DC6">
              <w:rPr>
                <w:noProof/>
                <w:webHidden/>
              </w:rPr>
            </w:r>
            <w:r w:rsidR="00D15DC6">
              <w:rPr>
                <w:noProof/>
                <w:webHidden/>
              </w:rPr>
              <w:fldChar w:fldCharType="separate"/>
            </w:r>
            <w:r w:rsidR="00D15DC6">
              <w:rPr>
                <w:noProof/>
                <w:webHidden/>
              </w:rPr>
              <w:t>1</w:t>
            </w:r>
            <w:r w:rsidR="00D15DC6">
              <w:rPr>
                <w:noProof/>
                <w:webHidden/>
              </w:rPr>
              <w:fldChar w:fldCharType="end"/>
            </w:r>
          </w:hyperlink>
        </w:p>
        <w:p w14:paraId="4A1F91D5" w14:textId="150D5919" w:rsidR="00D15DC6" w:rsidRDefault="00D15DC6">
          <w:pPr>
            <w:pStyle w:val="TOC2"/>
            <w:tabs>
              <w:tab w:val="right" w:leader="dot" w:pos="9783"/>
            </w:tabs>
            <w:rPr>
              <w:rFonts w:asciiTheme="minorHAnsi" w:eastAsiaTheme="minorEastAsia" w:hAnsiTheme="minorHAnsi" w:cstheme="minorBidi"/>
              <w:noProof/>
              <w:kern w:val="2"/>
              <w:sz w:val="24"/>
              <w:szCs w:val="24"/>
              <w:lang w:val="en-US" w:eastAsia="en-US"/>
              <w14:ligatures w14:val="standardContextual"/>
            </w:rPr>
          </w:pPr>
          <w:hyperlink w:anchor="_Toc210130058" w:history="1">
            <w:r w:rsidRPr="004335E1">
              <w:rPr>
                <w:rStyle w:val="Hyperlink"/>
                <w:rFonts w:asciiTheme="minorBidi" w:eastAsia="Arial" w:hAnsiTheme="minorBidi"/>
                <w:b/>
                <w:noProof/>
              </w:rPr>
              <w:t xml:space="preserve">CHAPTER 1  </w:t>
            </w:r>
            <w:r w:rsidRPr="004335E1">
              <w:rPr>
                <w:rStyle w:val="Hyperlink"/>
                <w:rFonts w:asciiTheme="minorBidi" w:hAnsiTheme="minorBidi"/>
                <w:noProof/>
              </w:rPr>
              <w:t>DRIVING CHANGE FOR PATIENTS WITH AMD AND DR IN CENTRAL AND EAST EUROPE</w:t>
            </w:r>
            <w:r>
              <w:rPr>
                <w:noProof/>
                <w:webHidden/>
              </w:rPr>
              <w:tab/>
            </w:r>
            <w:r>
              <w:rPr>
                <w:noProof/>
                <w:webHidden/>
              </w:rPr>
              <w:fldChar w:fldCharType="begin"/>
            </w:r>
            <w:r>
              <w:rPr>
                <w:noProof/>
                <w:webHidden/>
              </w:rPr>
              <w:instrText xml:space="preserve"> PAGEREF _Toc210130058 \h </w:instrText>
            </w:r>
            <w:r>
              <w:rPr>
                <w:noProof/>
                <w:webHidden/>
              </w:rPr>
            </w:r>
            <w:r>
              <w:rPr>
                <w:noProof/>
                <w:webHidden/>
              </w:rPr>
              <w:fldChar w:fldCharType="separate"/>
            </w:r>
            <w:r>
              <w:rPr>
                <w:noProof/>
                <w:webHidden/>
              </w:rPr>
              <w:t>7</w:t>
            </w:r>
            <w:r>
              <w:rPr>
                <w:noProof/>
                <w:webHidden/>
              </w:rPr>
              <w:fldChar w:fldCharType="end"/>
            </w:r>
          </w:hyperlink>
        </w:p>
        <w:p w14:paraId="382A70CC" w14:textId="2AE9C29B" w:rsidR="00D15DC6" w:rsidRDefault="00D15DC6">
          <w:pPr>
            <w:pStyle w:val="TOC2"/>
            <w:tabs>
              <w:tab w:val="right" w:leader="dot" w:pos="9783"/>
            </w:tabs>
            <w:rPr>
              <w:rFonts w:asciiTheme="minorHAnsi" w:eastAsiaTheme="minorEastAsia" w:hAnsiTheme="minorHAnsi" w:cstheme="minorBidi"/>
              <w:noProof/>
              <w:kern w:val="2"/>
              <w:sz w:val="24"/>
              <w:szCs w:val="24"/>
              <w:lang w:val="en-US" w:eastAsia="en-US"/>
              <w14:ligatures w14:val="standardContextual"/>
            </w:rPr>
          </w:pPr>
          <w:hyperlink w:anchor="_Toc210130059" w:history="1">
            <w:r w:rsidRPr="004335E1">
              <w:rPr>
                <w:rStyle w:val="Hyperlink"/>
                <w:rFonts w:asciiTheme="minorBidi" w:eastAsia="Arial" w:hAnsiTheme="minorBidi"/>
                <w:b/>
                <w:noProof/>
              </w:rPr>
              <w:t>CHAPTER 2</w:t>
            </w:r>
            <w:r w:rsidRPr="004335E1">
              <w:rPr>
                <w:rStyle w:val="Hyperlink"/>
                <w:rFonts w:asciiTheme="minorBidi" w:eastAsia="Arial" w:hAnsiTheme="minorBidi"/>
                <w:noProof/>
              </w:rPr>
              <w:t xml:space="preserve">  </w:t>
            </w:r>
            <w:r w:rsidRPr="004335E1">
              <w:rPr>
                <w:rStyle w:val="Hyperlink"/>
                <w:rFonts w:asciiTheme="minorBidi" w:hAnsiTheme="minorBidi"/>
                <w:noProof/>
              </w:rPr>
              <w:t>AMD AND DR</w:t>
            </w:r>
            <w:r>
              <w:rPr>
                <w:noProof/>
                <w:webHidden/>
              </w:rPr>
              <w:tab/>
            </w:r>
            <w:r>
              <w:rPr>
                <w:noProof/>
                <w:webHidden/>
              </w:rPr>
              <w:fldChar w:fldCharType="begin"/>
            </w:r>
            <w:r>
              <w:rPr>
                <w:noProof/>
                <w:webHidden/>
              </w:rPr>
              <w:instrText xml:space="preserve"> PAGEREF _Toc210130059 \h </w:instrText>
            </w:r>
            <w:r>
              <w:rPr>
                <w:noProof/>
                <w:webHidden/>
              </w:rPr>
            </w:r>
            <w:r>
              <w:rPr>
                <w:noProof/>
                <w:webHidden/>
              </w:rPr>
              <w:fldChar w:fldCharType="separate"/>
            </w:r>
            <w:r>
              <w:rPr>
                <w:noProof/>
                <w:webHidden/>
              </w:rPr>
              <w:t>13</w:t>
            </w:r>
            <w:r>
              <w:rPr>
                <w:noProof/>
                <w:webHidden/>
              </w:rPr>
              <w:fldChar w:fldCharType="end"/>
            </w:r>
          </w:hyperlink>
        </w:p>
        <w:p w14:paraId="4F360279" w14:textId="520C45F7" w:rsidR="00D15DC6" w:rsidRDefault="00D15DC6">
          <w:pPr>
            <w:pStyle w:val="TOC2"/>
            <w:tabs>
              <w:tab w:val="right" w:leader="dot" w:pos="9783"/>
            </w:tabs>
            <w:rPr>
              <w:rFonts w:asciiTheme="minorHAnsi" w:eastAsiaTheme="minorEastAsia" w:hAnsiTheme="minorHAnsi" w:cstheme="minorBidi"/>
              <w:noProof/>
              <w:kern w:val="2"/>
              <w:sz w:val="24"/>
              <w:szCs w:val="24"/>
              <w:lang w:val="en-US" w:eastAsia="en-US"/>
              <w14:ligatures w14:val="standardContextual"/>
            </w:rPr>
          </w:pPr>
          <w:hyperlink w:anchor="_Toc210130060" w:history="1">
            <w:r w:rsidRPr="004335E1">
              <w:rPr>
                <w:rStyle w:val="Hyperlink"/>
                <w:rFonts w:asciiTheme="minorBidi" w:eastAsia="Arial" w:hAnsiTheme="minorBidi"/>
                <w:b/>
                <w:noProof/>
              </w:rPr>
              <w:t xml:space="preserve">CHAPTER 3 </w:t>
            </w:r>
            <w:r w:rsidRPr="004335E1">
              <w:rPr>
                <w:rStyle w:val="Hyperlink"/>
                <w:rFonts w:asciiTheme="minorBidi" w:hAnsiTheme="minorBidi"/>
                <w:noProof/>
              </w:rPr>
              <w:t>STANDARDISING THE PATIENT JOURNEY IN CENTRAL AND EAST EUROPE</w:t>
            </w:r>
            <w:r>
              <w:rPr>
                <w:noProof/>
                <w:webHidden/>
              </w:rPr>
              <w:tab/>
            </w:r>
            <w:r>
              <w:rPr>
                <w:noProof/>
                <w:webHidden/>
              </w:rPr>
              <w:fldChar w:fldCharType="begin"/>
            </w:r>
            <w:r>
              <w:rPr>
                <w:noProof/>
                <w:webHidden/>
              </w:rPr>
              <w:instrText xml:space="preserve"> PAGEREF _Toc210130060 \h </w:instrText>
            </w:r>
            <w:r>
              <w:rPr>
                <w:noProof/>
                <w:webHidden/>
              </w:rPr>
            </w:r>
            <w:r>
              <w:rPr>
                <w:noProof/>
                <w:webHidden/>
              </w:rPr>
              <w:fldChar w:fldCharType="separate"/>
            </w:r>
            <w:r>
              <w:rPr>
                <w:noProof/>
                <w:webHidden/>
              </w:rPr>
              <w:t>15</w:t>
            </w:r>
            <w:r>
              <w:rPr>
                <w:noProof/>
                <w:webHidden/>
              </w:rPr>
              <w:fldChar w:fldCharType="end"/>
            </w:r>
          </w:hyperlink>
        </w:p>
        <w:p w14:paraId="6609B6EB" w14:textId="584AEC97" w:rsidR="00D15DC6" w:rsidRDefault="00D15DC6">
          <w:pPr>
            <w:pStyle w:val="TOC2"/>
            <w:tabs>
              <w:tab w:val="right" w:leader="dot" w:pos="9783"/>
            </w:tabs>
            <w:rPr>
              <w:rFonts w:asciiTheme="minorHAnsi" w:eastAsiaTheme="minorEastAsia" w:hAnsiTheme="minorHAnsi" w:cstheme="minorBidi"/>
              <w:noProof/>
              <w:kern w:val="2"/>
              <w:sz w:val="24"/>
              <w:szCs w:val="24"/>
              <w:lang w:val="en-US" w:eastAsia="en-US"/>
              <w14:ligatures w14:val="standardContextual"/>
            </w:rPr>
          </w:pPr>
          <w:hyperlink w:anchor="_Toc210130061" w:history="1">
            <w:r w:rsidRPr="004335E1">
              <w:rPr>
                <w:rStyle w:val="Hyperlink"/>
                <w:rFonts w:asciiTheme="minorBidi" w:hAnsiTheme="minorBidi"/>
                <w:b/>
                <w:noProof/>
              </w:rPr>
              <w:t xml:space="preserve">CHAPTER 4 </w:t>
            </w:r>
            <w:r w:rsidRPr="004335E1">
              <w:rPr>
                <w:rStyle w:val="Hyperlink"/>
                <w:rFonts w:asciiTheme="minorBidi" w:hAnsiTheme="minorBidi"/>
                <w:noProof/>
              </w:rPr>
              <w:t>AFTERCARE AND LONG-TERM MANAGEMENT</w:t>
            </w:r>
            <w:r>
              <w:rPr>
                <w:noProof/>
                <w:webHidden/>
              </w:rPr>
              <w:tab/>
            </w:r>
            <w:r>
              <w:rPr>
                <w:noProof/>
                <w:webHidden/>
              </w:rPr>
              <w:fldChar w:fldCharType="begin"/>
            </w:r>
            <w:r>
              <w:rPr>
                <w:noProof/>
                <w:webHidden/>
              </w:rPr>
              <w:instrText xml:space="preserve"> PAGEREF _Toc210130061 \h </w:instrText>
            </w:r>
            <w:r>
              <w:rPr>
                <w:noProof/>
                <w:webHidden/>
              </w:rPr>
            </w:r>
            <w:r>
              <w:rPr>
                <w:noProof/>
                <w:webHidden/>
              </w:rPr>
              <w:fldChar w:fldCharType="separate"/>
            </w:r>
            <w:r>
              <w:rPr>
                <w:noProof/>
                <w:webHidden/>
              </w:rPr>
              <w:t>25</w:t>
            </w:r>
            <w:r>
              <w:rPr>
                <w:noProof/>
                <w:webHidden/>
              </w:rPr>
              <w:fldChar w:fldCharType="end"/>
            </w:r>
          </w:hyperlink>
        </w:p>
        <w:p w14:paraId="1DBB42D8" w14:textId="736C8E5E" w:rsidR="00D15DC6" w:rsidRDefault="00D15DC6">
          <w:pPr>
            <w:pStyle w:val="TOC2"/>
            <w:tabs>
              <w:tab w:val="right" w:leader="dot" w:pos="9783"/>
            </w:tabs>
            <w:rPr>
              <w:rFonts w:asciiTheme="minorHAnsi" w:eastAsiaTheme="minorEastAsia" w:hAnsiTheme="minorHAnsi" w:cstheme="minorBidi"/>
              <w:noProof/>
              <w:kern w:val="2"/>
              <w:sz w:val="24"/>
              <w:szCs w:val="24"/>
              <w:lang w:val="en-US" w:eastAsia="en-US"/>
              <w14:ligatures w14:val="standardContextual"/>
            </w:rPr>
          </w:pPr>
          <w:hyperlink w:anchor="_Toc210130062" w:history="1">
            <w:r w:rsidRPr="004335E1">
              <w:rPr>
                <w:rStyle w:val="Hyperlink"/>
                <w:rFonts w:asciiTheme="minorBidi" w:hAnsiTheme="minorBidi"/>
                <w:b/>
                <w:noProof/>
              </w:rPr>
              <w:t xml:space="preserve">CHAPTER 5 </w:t>
            </w:r>
            <w:r w:rsidRPr="004335E1">
              <w:rPr>
                <w:rStyle w:val="Hyperlink"/>
                <w:rFonts w:asciiTheme="minorBidi" w:hAnsiTheme="minorBidi"/>
                <w:noProof/>
              </w:rPr>
              <w:t>ADAPTING BEST PRACTICES FROM WESTERN EUROPE AND THE USA</w:t>
            </w:r>
            <w:r>
              <w:rPr>
                <w:noProof/>
                <w:webHidden/>
              </w:rPr>
              <w:tab/>
            </w:r>
            <w:r>
              <w:rPr>
                <w:noProof/>
                <w:webHidden/>
              </w:rPr>
              <w:fldChar w:fldCharType="begin"/>
            </w:r>
            <w:r>
              <w:rPr>
                <w:noProof/>
                <w:webHidden/>
              </w:rPr>
              <w:instrText xml:space="preserve"> PAGEREF _Toc210130062 \h </w:instrText>
            </w:r>
            <w:r>
              <w:rPr>
                <w:noProof/>
                <w:webHidden/>
              </w:rPr>
            </w:r>
            <w:r>
              <w:rPr>
                <w:noProof/>
                <w:webHidden/>
              </w:rPr>
              <w:fldChar w:fldCharType="separate"/>
            </w:r>
            <w:r>
              <w:rPr>
                <w:noProof/>
                <w:webHidden/>
              </w:rPr>
              <w:t>28</w:t>
            </w:r>
            <w:r>
              <w:rPr>
                <w:noProof/>
                <w:webHidden/>
              </w:rPr>
              <w:fldChar w:fldCharType="end"/>
            </w:r>
          </w:hyperlink>
        </w:p>
        <w:p w14:paraId="34001A68" w14:textId="2CC0330D" w:rsidR="00D15DC6" w:rsidRDefault="00D15DC6">
          <w:pPr>
            <w:pStyle w:val="TOC2"/>
            <w:tabs>
              <w:tab w:val="right" w:leader="dot" w:pos="9783"/>
            </w:tabs>
            <w:rPr>
              <w:rFonts w:asciiTheme="minorHAnsi" w:eastAsiaTheme="minorEastAsia" w:hAnsiTheme="minorHAnsi" w:cstheme="minorBidi"/>
              <w:noProof/>
              <w:kern w:val="2"/>
              <w:sz w:val="24"/>
              <w:szCs w:val="24"/>
              <w:lang w:val="en-US" w:eastAsia="en-US"/>
              <w14:ligatures w14:val="standardContextual"/>
            </w:rPr>
          </w:pPr>
          <w:hyperlink w:anchor="_Toc210130063" w:history="1">
            <w:r w:rsidRPr="004335E1">
              <w:rPr>
                <w:rStyle w:val="Hyperlink"/>
                <w:rFonts w:asciiTheme="minorBidi" w:hAnsiTheme="minorBidi"/>
                <w:b/>
                <w:noProof/>
              </w:rPr>
              <w:t xml:space="preserve">CHAPTER 6 </w:t>
            </w:r>
            <w:r w:rsidRPr="004335E1">
              <w:rPr>
                <w:rStyle w:val="Hyperlink"/>
                <w:rFonts w:asciiTheme="minorBidi" w:hAnsiTheme="minorBidi"/>
                <w:noProof/>
              </w:rPr>
              <w:t>CONCLUSION</w:t>
            </w:r>
            <w:r>
              <w:rPr>
                <w:noProof/>
                <w:webHidden/>
              </w:rPr>
              <w:tab/>
            </w:r>
            <w:r>
              <w:rPr>
                <w:noProof/>
                <w:webHidden/>
              </w:rPr>
              <w:fldChar w:fldCharType="begin"/>
            </w:r>
            <w:r>
              <w:rPr>
                <w:noProof/>
                <w:webHidden/>
              </w:rPr>
              <w:instrText xml:space="preserve"> PAGEREF _Toc210130063 \h </w:instrText>
            </w:r>
            <w:r>
              <w:rPr>
                <w:noProof/>
                <w:webHidden/>
              </w:rPr>
            </w:r>
            <w:r>
              <w:rPr>
                <w:noProof/>
                <w:webHidden/>
              </w:rPr>
              <w:fldChar w:fldCharType="separate"/>
            </w:r>
            <w:r>
              <w:rPr>
                <w:noProof/>
                <w:webHidden/>
              </w:rPr>
              <w:t>29</w:t>
            </w:r>
            <w:r>
              <w:rPr>
                <w:noProof/>
                <w:webHidden/>
              </w:rPr>
              <w:fldChar w:fldCharType="end"/>
            </w:r>
          </w:hyperlink>
        </w:p>
        <w:p w14:paraId="0000002E" w14:textId="0301DBA1" w:rsidR="00625C02" w:rsidRPr="006F1295" w:rsidRDefault="00A22398" w:rsidP="006F1295">
          <w:pPr>
            <w:spacing w:before="120" w:after="120" w:line="360" w:lineRule="auto"/>
            <w:rPr>
              <w:rFonts w:ascii="Arial" w:eastAsia="Arial" w:hAnsi="Arial" w:cs="Arial"/>
            </w:rPr>
          </w:pPr>
          <w:r w:rsidRPr="002C0227">
            <w:rPr>
              <w:rFonts w:asciiTheme="minorBidi" w:hAnsiTheme="minorBidi" w:cstheme="minorBidi"/>
            </w:rPr>
            <w:fldChar w:fldCharType="end"/>
          </w:r>
        </w:p>
      </w:sdtContent>
    </w:sdt>
    <w:p w14:paraId="0000002F" w14:textId="77777777" w:rsidR="00625C02" w:rsidRPr="006F1295" w:rsidRDefault="00A22398" w:rsidP="00144E0D">
      <w:pPr>
        <w:spacing w:before="120" w:after="0" w:line="360" w:lineRule="auto"/>
        <w:rPr>
          <w:rFonts w:ascii="Arial" w:eastAsia="Arial" w:hAnsi="Arial" w:cs="Arial"/>
          <w:b/>
          <w:color w:val="0F4761"/>
        </w:rPr>
      </w:pPr>
      <w:r w:rsidRPr="006F1295">
        <w:rPr>
          <w:rFonts w:ascii="Arial" w:eastAsia="Arial" w:hAnsi="Arial" w:cs="Arial"/>
          <w:b/>
          <w:color w:val="0F4761"/>
        </w:rPr>
        <w:t xml:space="preserve">AUTHORS: </w:t>
      </w:r>
    </w:p>
    <w:p w14:paraId="30AB10AA" w14:textId="5C823618" w:rsidR="7DE69508" w:rsidRDefault="7DE69508" w:rsidP="00144E0D">
      <w:pPr>
        <w:pStyle w:val="ListParagraph"/>
        <w:numPr>
          <w:ilvl w:val="0"/>
          <w:numId w:val="1"/>
        </w:numPr>
        <w:spacing w:after="240" w:line="240" w:lineRule="auto"/>
      </w:pPr>
      <w:r w:rsidRPr="088A7BC4">
        <w:rPr>
          <w:b/>
          <w:bCs/>
        </w:rPr>
        <w:t>Ivica Belina</w:t>
      </w:r>
      <w:r w:rsidRPr="088A7BC4">
        <w:t>, Coalition of Healthcare Associations (KUZ), Croatia</w:t>
      </w:r>
    </w:p>
    <w:p w14:paraId="6DA4EE08" w14:textId="0A621AD4" w:rsidR="7DE69508" w:rsidRDefault="7DE69508" w:rsidP="008B2C0A">
      <w:pPr>
        <w:pStyle w:val="ListParagraph"/>
        <w:numPr>
          <w:ilvl w:val="0"/>
          <w:numId w:val="1"/>
        </w:numPr>
        <w:spacing w:before="240" w:after="240"/>
      </w:pPr>
      <w:r w:rsidRPr="088A7BC4">
        <w:rPr>
          <w:b/>
          <w:bCs/>
        </w:rPr>
        <w:t>Žana Šibul</w:t>
      </w:r>
      <w:r w:rsidRPr="088A7BC4">
        <w:t>, Association of Ophthalmology Patients (Bono Vido), Serbia</w:t>
      </w:r>
    </w:p>
    <w:p w14:paraId="73093558" w14:textId="70ABDDE7" w:rsidR="7DE69508" w:rsidRDefault="7DE69508" w:rsidP="008B2C0A">
      <w:pPr>
        <w:pStyle w:val="ListParagraph"/>
        <w:numPr>
          <w:ilvl w:val="0"/>
          <w:numId w:val="1"/>
        </w:numPr>
        <w:spacing w:before="240" w:after="240"/>
      </w:pPr>
      <w:r w:rsidRPr="088A7BC4">
        <w:rPr>
          <w:b/>
          <w:bCs/>
        </w:rPr>
        <w:t>Dimce Velev</w:t>
      </w:r>
      <w:r w:rsidRPr="088A7BC4">
        <w:t>, PAG Union of Associations of Persons with Diabetes of Macedonia, North Macedonia</w:t>
      </w:r>
    </w:p>
    <w:p w14:paraId="0D4E443B" w14:textId="77777777" w:rsidR="003D7CD5" w:rsidRPr="006F1295" w:rsidRDefault="003D7CD5" w:rsidP="006F1295">
      <w:pPr>
        <w:spacing w:before="120" w:after="120" w:line="360" w:lineRule="auto"/>
        <w:rPr>
          <w:rFonts w:ascii="Arial" w:eastAsia="Arial" w:hAnsi="Arial" w:cs="Arial"/>
          <w:b/>
          <w:color w:val="0F4761"/>
        </w:rPr>
      </w:pPr>
      <w:r w:rsidRPr="006F1295">
        <w:rPr>
          <w:rFonts w:ascii="Arial" w:eastAsia="Arial" w:hAnsi="Arial" w:cs="Arial"/>
          <w:b/>
          <w:color w:val="0F4761"/>
        </w:rPr>
        <w:t xml:space="preserve">ACKNOWLEDGEMENTS </w:t>
      </w:r>
    </w:p>
    <w:p w14:paraId="13B53806" w14:textId="16CF3B20" w:rsidR="00EA67D5" w:rsidRDefault="003D7CD5" w:rsidP="088A7BC4">
      <w:pPr>
        <w:spacing w:after="120"/>
      </w:pPr>
      <w:r>
        <w:t xml:space="preserve">We would like to thank our advisors for their input </w:t>
      </w:r>
      <w:r w:rsidR="009C1B9F">
        <w:t>and review of this paper as well as their attendance at</w:t>
      </w:r>
      <w:r>
        <w:t xml:space="preserve"> the </w:t>
      </w:r>
      <w:r w:rsidRPr="088A7BC4">
        <w:rPr>
          <w:i/>
          <w:iCs/>
        </w:rPr>
        <w:t xml:space="preserve">Eastern European Retinal Disease Patient Advocacy Groups </w:t>
      </w:r>
      <w:r>
        <w:t>meeting in Budapest that inspired and informed this paper:</w:t>
      </w:r>
    </w:p>
    <w:p w14:paraId="51A1138F" w14:textId="6E409BA2" w:rsidR="00EF02D3" w:rsidRPr="007373B5" w:rsidRDefault="00EF02D3" w:rsidP="007373B5">
      <w:pPr>
        <w:pStyle w:val="ListParagraph"/>
        <w:numPr>
          <w:ilvl w:val="0"/>
          <w:numId w:val="28"/>
        </w:numPr>
        <w:spacing w:after="0"/>
        <w:rPr>
          <w:lang w:val="en-CA"/>
        </w:rPr>
      </w:pPr>
      <w:r w:rsidRPr="007373B5">
        <w:rPr>
          <w:b/>
          <w:bCs/>
          <w:lang w:val="en-CA"/>
        </w:rPr>
        <w:t>Audre Grybauskaite</w:t>
      </w:r>
      <w:r w:rsidRPr="007373B5">
        <w:rPr>
          <w:lang w:val="en-CA"/>
        </w:rPr>
        <w:t>, Association of People with Retinal Diseases (STLA)​</w:t>
      </w:r>
    </w:p>
    <w:p w14:paraId="605432AE" w14:textId="10141D62" w:rsidR="007D6AC5" w:rsidRDefault="007D6AC5" w:rsidP="007373B5">
      <w:pPr>
        <w:pStyle w:val="ListParagraph"/>
        <w:numPr>
          <w:ilvl w:val="0"/>
          <w:numId w:val="28"/>
        </w:numPr>
        <w:spacing w:after="0"/>
      </w:pPr>
      <w:r w:rsidRPr="007373B5">
        <w:rPr>
          <w:b/>
          <w:bCs/>
          <w:lang w:val="en-CA"/>
        </w:rPr>
        <w:t>Andreja Veljaca</w:t>
      </w:r>
      <w:r w:rsidRPr="007373B5">
        <w:rPr>
          <w:lang w:val="en-CA"/>
        </w:rPr>
        <w:t xml:space="preserve">, </w:t>
      </w:r>
      <w:r w:rsidRPr="088A7BC4">
        <w:t>Coalition of Healthcare Associations (KUZ), Croatia</w:t>
      </w:r>
    </w:p>
    <w:p w14:paraId="00A8595F" w14:textId="1223614F" w:rsidR="008D5932" w:rsidRPr="007373B5" w:rsidRDefault="008D5932" w:rsidP="007373B5">
      <w:pPr>
        <w:pStyle w:val="ListParagraph"/>
        <w:numPr>
          <w:ilvl w:val="0"/>
          <w:numId w:val="28"/>
        </w:numPr>
        <w:spacing w:after="0"/>
        <w:rPr>
          <w:lang w:val="en-CA"/>
        </w:rPr>
      </w:pPr>
      <w:r w:rsidRPr="007373B5">
        <w:rPr>
          <w:b/>
          <w:bCs/>
          <w:lang w:val="en-CA"/>
        </w:rPr>
        <w:t>Luminita Valcea</w:t>
      </w:r>
      <w:r w:rsidRPr="007373B5">
        <w:rPr>
          <w:lang w:val="en-CA"/>
        </w:rPr>
        <w:t xml:space="preserve">, </w:t>
      </w:r>
      <w:r w:rsidR="00501DEC" w:rsidRPr="007373B5">
        <w:rPr>
          <w:lang w:val="en-CA"/>
        </w:rPr>
        <w:t>Chronic Disease Patients Coalition</w:t>
      </w:r>
    </w:p>
    <w:p w14:paraId="43DEF488" w14:textId="576F3514" w:rsidR="004060EC" w:rsidRPr="007373B5" w:rsidRDefault="004060EC" w:rsidP="007373B5">
      <w:pPr>
        <w:pStyle w:val="ListParagraph"/>
        <w:numPr>
          <w:ilvl w:val="0"/>
          <w:numId w:val="28"/>
        </w:numPr>
        <w:spacing w:after="0"/>
        <w:rPr>
          <w:lang w:val="en-CA"/>
        </w:rPr>
      </w:pPr>
      <w:r w:rsidRPr="007373B5">
        <w:rPr>
          <w:b/>
          <w:bCs/>
          <w:lang w:val="en-CA"/>
        </w:rPr>
        <w:t>Siiri Rannama</w:t>
      </w:r>
      <w:r w:rsidRPr="007373B5">
        <w:rPr>
          <w:lang w:val="en-CA"/>
        </w:rPr>
        <w:t>, East Tallinn Central Hospital Patient Council</w:t>
      </w:r>
    </w:p>
    <w:p w14:paraId="3BCF6964" w14:textId="7D3ABC7E" w:rsidR="00D256FF" w:rsidRPr="007373B5" w:rsidRDefault="00D256FF" w:rsidP="007373B5">
      <w:pPr>
        <w:pStyle w:val="ListParagraph"/>
        <w:numPr>
          <w:ilvl w:val="0"/>
          <w:numId w:val="28"/>
        </w:numPr>
        <w:spacing w:after="0"/>
        <w:rPr>
          <w:lang w:val="en-CA"/>
        </w:rPr>
      </w:pPr>
      <w:r w:rsidRPr="007373B5">
        <w:rPr>
          <w:b/>
          <w:bCs/>
          <w:lang w:val="en-CA"/>
        </w:rPr>
        <w:t>Eleni Vlachou</w:t>
      </w:r>
      <w:r w:rsidR="005F2EF5" w:rsidRPr="007373B5">
        <w:rPr>
          <w:lang w:val="en-CA"/>
        </w:rPr>
        <w:t>, Hellenic Retina Society</w:t>
      </w:r>
    </w:p>
    <w:p w14:paraId="730D0F54" w14:textId="77777777" w:rsidR="005F2EF5" w:rsidRDefault="00D256FF" w:rsidP="007373B5">
      <w:pPr>
        <w:pStyle w:val="ListParagraph"/>
        <w:numPr>
          <w:ilvl w:val="0"/>
          <w:numId w:val="28"/>
        </w:numPr>
        <w:spacing w:after="0"/>
      </w:pPr>
      <w:r w:rsidRPr="007373B5">
        <w:rPr>
          <w:b/>
          <w:bCs/>
          <w:lang w:val="en-CA"/>
        </w:rPr>
        <w:t>Stratis Xatzicharalampous</w:t>
      </w:r>
      <w:r w:rsidR="00487E0E" w:rsidRPr="007373B5">
        <w:rPr>
          <w:lang w:val="en-CA"/>
        </w:rPr>
        <w:t xml:space="preserve">, </w:t>
      </w:r>
      <w:r w:rsidR="005F2EF5" w:rsidRPr="00D85A7C">
        <w:t>Hellenic Retina Society</w:t>
      </w:r>
      <w:r w:rsidR="005F2EF5" w:rsidRPr="005F2EF5">
        <w:t xml:space="preserve"> </w:t>
      </w:r>
    </w:p>
    <w:p w14:paraId="66C13561" w14:textId="0C881F6B" w:rsidR="00DA512C" w:rsidRPr="007373B5" w:rsidRDefault="00DA512C" w:rsidP="007373B5">
      <w:pPr>
        <w:pStyle w:val="ListParagraph"/>
        <w:numPr>
          <w:ilvl w:val="0"/>
          <w:numId w:val="28"/>
        </w:numPr>
        <w:spacing w:after="0"/>
        <w:rPr>
          <w:lang w:val="en-CA"/>
        </w:rPr>
      </w:pPr>
      <w:r w:rsidRPr="007373B5">
        <w:rPr>
          <w:b/>
          <w:bCs/>
          <w:lang w:val="en-CA"/>
        </w:rPr>
        <w:t>Bence Bukta</w:t>
      </w:r>
      <w:r w:rsidRPr="007373B5">
        <w:rPr>
          <w:lang w:val="en-CA"/>
        </w:rPr>
        <w:t>, Hermina Association of the Blind and Visually Impaired</w:t>
      </w:r>
    </w:p>
    <w:p w14:paraId="449CD572" w14:textId="48EA7CC4" w:rsidR="00C90F06" w:rsidRPr="007373B5" w:rsidRDefault="00C90F06" w:rsidP="007373B5">
      <w:pPr>
        <w:pStyle w:val="ListParagraph"/>
        <w:numPr>
          <w:ilvl w:val="0"/>
          <w:numId w:val="28"/>
        </w:numPr>
        <w:spacing w:after="0"/>
        <w:rPr>
          <w:lang w:val="en-CA"/>
        </w:rPr>
      </w:pPr>
      <w:r w:rsidRPr="007373B5">
        <w:rPr>
          <w:b/>
          <w:bCs/>
          <w:lang w:val="en-CA"/>
        </w:rPr>
        <w:t>Tibor Pásztor</w:t>
      </w:r>
      <w:r w:rsidR="009B35ED" w:rsidRPr="007373B5">
        <w:rPr>
          <w:lang w:val="en-CA"/>
        </w:rPr>
        <w:t>, Hermina Association of the Blind and Visually Impaired</w:t>
      </w:r>
    </w:p>
    <w:p w14:paraId="4964C8F1" w14:textId="6827D0F7" w:rsidR="009E5117" w:rsidRPr="007373B5" w:rsidRDefault="009E5117" w:rsidP="007373B5">
      <w:pPr>
        <w:pStyle w:val="ListParagraph"/>
        <w:numPr>
          <w:ilvl w:val="0"/>
          <w:numId w:val="28"/>
        </w:numPr>
        <w:spacing w:after="0"/>
        <w:rPr>
          <w:lang w:val="en-CA"/>
        </w:rPr>
      </w:pPr>
      <w:r w:rsidRPr="007373B5">
        <w:rPr>
          <w:b/>
          <w:bCs/>
          <w:lang w:val="en-CA"/>
        </w:rPr>
        <w:t>Dorottya Velegi</w:t>
      </w:r>
      <w:r w:rsidRPr="007373B5">
        <w:rPr>
          <w:lang w:val="en-CA"/>
        </w:rPr>
        <w:t>, Hermina Association of the Blind and Visually Impaired</w:t>
      </w:r>
    </w:p>
    <w:p w14:paraId="2FB21F7D" w14:textId="51C248B3" w:rsidR="004060EC" w:rsidRDefault="004060EC" w:rsidP="007373B5">
      <w:pPr>
        <w:pStyle w:val="ListParagraph"/>
        <w:numPr>
          <w:ilvl w:val="0"/>
          <w:numId w:val="28"/>
        </w:numPr>
        <w:spacing w:after="0"/>
      </w:pPr>
      <w:r w:rsidRPr="007373B5">
        <w:rPr>
          <w:b/>
          <w:bCs/>
        </w:rPr>
        <w:t>Viktor Lukarski</w:t>
      </w:r>
      <w:r>
        <w:t xml:space="preserve">, </w:t>
      </w:r>
      <w:r w:rsidRPr="088A7BC4">
        <w:t>PAG Union of Associations of Persons with Diabetes of Macedonia, North Macedonia</w:t>
      </w:r>
    </w:p>
    <w:p w14:paraId="6D51FB2F" w14:textId="29FD1D4F" w:rsidR="004060EC" w:rsidRPr="004060EC" w:rsidRDefault="004060EC" w:rsidP="007373B5">
      <w:pPr>
        <w:pStyle w:val="ListParagraph"/>
        <w:numPr>
          <w:ilvl w:val="0"/>
          <w:numId w:val="28"/>
        </w:numPr>
        <w:spacing w:after="0"/>
      </w:pPr>
      <w:r w:rsidRPr="007373B5">
        <w:rPr>
          <w:b/>
          <w:bCs/>
        </w:rPr>
        <w:t>Kaspars Biezais</w:t>
      </w:r>
      <w:r w:rsidRPr="000107EB">
        <w:t>, Latvian Society for the Blind</w:t>
      </w:r>
    </w:p>
    <w:p w14:paraId="18528B10" w14:textId="7E68DD0F" w:rsidR="009E5117" w:rsidRPr="007373B5" w:rsidRDefault="009E5117" w:rsidP="007373B5">
      <w:pPr>
        <w:pStyle w:val="ListParagraph"/>
        <w:numPr>
          <w:ilvl w:val="0"/>
          <w:numId w:val="28"/>
        </w:numPr>
        <w:spacing w:after="0"/>
        <w:rPr>
          <w:lang w:val="it-IT"/>
        </w:rPr>
      </w:pPr>
      <w:r w:rsidRPr="007373B5">
        <w:rPr>
          <w:b/>
          <w:bCs/>
          <w:lang w:val="it-IT"/>
        </w:rPr>
        <w:t>Petia Stratieva</w:t>
      </w:r>
      <w:r w:rsidRPr="007373B5">
        <w:rPr>
          <w:lang w:val="it-IT"/>
        </w:rPr>
        <w:t>, Retina Bulgaria,​ ePAG Patient Advocate ERN-EYE​</w:t>
      </w:r>
    </w:p>
    <w:p w14:paraId="5D4DC94B" w14:textId="06E84959" w:rsidR="00C90F06" w:rsidRPr="007373B5" w:rsidRDefault="00C90F06" w:rsidP="007373B5">
      <w:pPr>
        <w:pStyle w:val="ListParagraph"/>
        <w:numPr>
          <w:ilvl w:val="0"/>
          <w:numId w:val="28"/>
        </w:numPr>
        <w:spacing w:after="0"/>
        <w:rPr>
          <w:lang w:val="it-IT"/>
        </w:rPr>
      </w:pPr>
      <w:r w:rsidRPr="007373B5">
        <w:rPr>
          <w:b/>
          <w:bCs/>
          <w:lang w:val="it-IT"/>
        </w:rPr>
        <w:t>Paulina Zewar</w:t>
      </w:r>
      <w:r w:rsidR="000B1DB7" w:rsidRPr="007373B5">
        <w:rPr>
          <w:lang w:val="it-IT"/>
        </w:rPr>
        <w:t>,</w:t>
      </w:r>
      <w:r w:rsidR="006511D9" w:rsidRPr="007373B5">
        <w:rPr>
          <w:lang w:val="it-IT"/>
        </w:rPr>
        <w:t xml:space="preserve"> Retina AMD Polska</w:t>
      </w:r>
    </w:p>
    <w:p w14:paraId="7757ED6E" w14:textId="031366CC" w:rsidR="00767669" w:rsidRPr="007373B5" w:rsidRDefault="00767669" w:rsidP="007373B5">
      <w:pPr>
        <w:pStyle w:val="ListParagraph"/>
        <w:numPr>
          <w:ilvl w:val="0"/>
          <w:numId w:val="28"/>
        </w:numPr>
        <w:spacing w:after="0"/>
        <w:rPr>
          <w:lang w:val="it-IT"/>
        </w:rPr>
      </w:pPr>
      <w:r w:rsidRPr="007373B5">
        <w:rPr>
          <w:b/>
          <w:bCs/>
          <w:lang w:val="it-IT"/>
        </w:rPr>
        <w:t>Małgorzata Pacholec</w:t>
      </w:r>
      <w:r w:rsidRPr="007373B5">
        <w:rPr>
          <w:lang w:val="it-IT"/>
        </w:rPr>
        <w:t xml:space="preserve">, Retina AMD Poland </w:t>
      </w:r>
    </w:p>
    <w:p w14:paraId="32EFC2D1" w14:textId="6863ECD9" w:rsidR="00C409B3" w:rsidRDefault="00C90F06" w:rsidP="007373B5">
      <w:pPr>
        <w:pStyle w:val="ListParagraph"/>
        <w:numPr>
          <w:ilvl w:val="0"/>
          <w:numId w:val="28"/>
        </w:numPr>
        <w:spacing w:after="0"/>
      </w:pPr>
      <w:r w:rsidRPr="007373B5">
        <w:rPr>
          <w:b/>
          <w:bCs/>
          <w:lang w:val="en-CA"/>
        </w:rPr>
        <w:t>Timea Hóková</w:t>
      </w:r>
      <w:r w:rsidR="002D0429" w:rsidRPr="007373B5">
        <w:rPr>
          <w:lang w:val="en-CA"/>
        </w:rPr>
        <w:t xml:space="preserve">, </w:t>
      </w:r>
      <w:r w:rsidR="002D0429" w:rsidRPr="002D0429">
        <w:t>Slovak Blind and Partially Sighted Union (UNSS)​</w:t>
      </w:r>
    </w:p>
    <w:p w14:paraId="7E82AE86" w14:textId="351C5504" w:rsidR="00BC5AC8" w:rsidRPr="007373B5" w:rsidRDefault="00BC5AC8" w:rsidP="007373B5">
      <w:pPr>
        <w:pStyle w:val="ListParagraph"/>
        <w:numPr>
          <w:ilvl w:val="0"/>
          <w:numId w:val="28"/>
        </w:numPr>
        <w:spacing w:after="0"/>
        <w:rPr>
          <w:lang w:val="en-CA"/>
        </w:rPr>
      </w:pPr>
      <w:r w:rsidRPr="007373B5">
        <w:rPr>
          <w:b/>
          <w:bCs/>
          <w:lang w:val="en-CA"/>
        </w:rPr>
        <w:t>Michaela Serafín</w:t>
      </w:r>
      <w:r w:rsidRPr="007373B5">
        <w:rPr>
          <w:lang w:val="en-CA"/>
        </w:rPr>
        <w:t xml:space="preserve">, </w:t>
      </w:r>
      <w:r w:rsidR="00D47837" w:rsidRPr="002D0429">
        <w:t>Slovak Blind and Partially Sighted Union (UNSS)​</w:t>
      </w:r>
    </w:p>
    <w:p w14:paraId="0715A5C5" w14:textId="77777777" w:rsidR="0010669C" w:rsidRPr="00D256FF" w:rsidRDefault="0010669C" w:rsidP="00C90F06">
      <w:pPr>
        <w:spacing w:after="0"/>
        <w:rPr>
          <w:lang w:val="en-CA"/>
        </w:rPr>
      </w:pPr>
    </w:p>
    <w:p w14:paraId="0C25E881" w14:textId="78F66E1F" w:rsidR="003D7CD5" w:rsidRPr="003D7CD5" w:rsidRDefault="003D7CD5" w:rsidP="088A7BC4">
      <w:pPr>
        <w:spacing w:after="120"/>
        <w:rPr>
          <w:color w:val="FF0000"/>
        </w:rPr>
      </w:pPr>
      <w:r>
        <w:t xml:space="preserve">We would like to extend special </w:t>
      </w:r>
      <w:r w:rsidRPr="00450B80">
        <w:t xml:space="preserve">thanks to </w:t>
      </w:r>
      <w:r w:rsidR="3FBCCAD0" w:rsidRPr="00B407AA">
        <w:rPr>
          <w:b/>
          <w:bCs/>
        </w:rPr>
        <w:t>Drew Keys</w:t>
      </w:r>
      <w:r w:rsidR="3FBCCAD0" w:rsidRPr="00450B80">
        <w:t>, IAPB Director of Regional Engagement</w:t>
      </w:r>
      <w:r w:rsidRPr="00450B80">
        <w:t xml:space="preserve">, </w:t>
      </w:r>
      <w:r>
        <w:t xml:space="preserve">who has reviewed the final draft of this paper and provided further insights. </w:t>
      </w:r>
      <w:r w:rsidR="00F15669">
        <w:t xml:space="preserve">Medical review was provided by </w:t>
      </w:r>
      <w:r w:rsidR="00F15669" w:rsidRPr="00B407AA">
        <w:rPr>
          <w:b/>
          <w:bCs/>
        </w:rPr>
        <w:t>Nancy M. Holekamp</w:t>
      </w:r>
      <w:r w:rsidR="00F15669">
        <w:t>, MD</w:t>
      </w:r>
      <w:r w:rsidR="004475D2">
        <w:t xml:space="preserve">, </w:t>
      </w:r>
      <w:r w:rsidR="004475D2" w:rsidRPr="004475D2">
        <w:t>Director of Retina Services at the Pepose Vision Institute in St. Louis</w:t>
      </w:r>
      <w:r w:rsidR="00F15669">
        <w:t xml:space="preserve">. </w:t>
      </w:r>
      <w:r>
        <w:t>Editorial support was provided by AXON Communications, London, and funded by Roche.</w:t>
      </w:r>
    </w:p>
    <w:p w14:paraId="0000003C" w14:textId="4461A2A4" w:rsidR="00625C02" w:rsidRDefault="00A22398">
      <w:pPr>
        <w:spacing w:before="120" w:after="120" w:line="360" w:lineRule="auto"/>
      </w:pPr>
      <w:r>
        <w:rPr>
          <w:b/>
        </w:rPr>
        <w:lastRenderedPageBreak/>
        <w:t>KEYWORDS:</w:t>
      </w:r>
      <w:r>
        <w:t xml:space="preserve"> Retinal disease</w:t>
      </w:r>
      <w:r w:rsidR="00843806">
        <w:t xml:space="preserve"> associated with age</w:t>
      </w:r>
      <w:r>
        <w:t xml:space="preserve">, age-related macular degeneration, AMD, diabetic </w:t>
      </w:r>
      <w:r w:rsidR="007F43C9">
        <w:t>retinopathy</w:t>
      </w:r>
      <w:r>
        <w:t>, D</w:t>
      </w:r>
      <w:r w:rsidR="007F43C9">
        <w:t>R</w:t>
      </w:r>
      <w:r>
        <w:t>, innovative treatments, patient treatment, policy health, healthcare communication, best practice.</w:t>
      </w:r>
    </w:p>
    <w:p w14:paraId="114F67D9" w14:textId="77777777" w:rsidR="006F1295" w:rsidRDefault="006F1295">
      <w:pPr>
        <w:spacing w:before="120" w:after="120" w:line="360" w:lineRule="auto"/>
      </w:pPr>
    </w:p>
    <w:p w14:paraId="0000003D" w14:textId="5E6E5A8B" w:rsidR="00625C02" w:rsidRDefault="00A22398">
      <w:pPr>
        <w:spacing w:before="120" w:after="120" w:line="360" w:lineRule="auto"/>
        <w:rPr>
          <w:rFonts w:ascii="Arial" w:eastAsia="Arial" w:hAnsi="Arial" w:cs="Arial"/>
          <w:b/>
          <w:color w:val="0F4761"/>
        </w:rPr>
      </w:pPr>
      <w:r>
        <w:rPr>
          <w:rFonts w:ascii="Arial" w:eastAsia="Arial" w:hAnsi="Arial" w:cs="Arial"/>
          <w:b/>
          <w:color w:val="0F4761"/>
        </w:rPr>
        <w:t>FOREWORD</w:t>
      </w:r>
    </w:p>
    <w:p w14:paraId="1E965537" w14:textId="6A568FE9" w:rsidR="00563DA0" w:rsidRPr="00563DA0" w:rsidRDefault="00563DA0" w:rsidP="00563DA0">
      <w:pPr>
        <w:pBdr>
          <w:bottom w:val="single" w:sz="4" w:space="1" w:color="4472C4"/>
        </w:pBdr>
        <w:spacing w:before="120" w:after="120" w:line="360" w:lineRule="auto"/>
        <w:rPr>
          <w:bCs/>
          <w:lang w:val="en-US"/>
        </w:rPr>
      </w:pPr>
      <w:r w:rsidRPr="00563DA0">
        <w:rPr>
          <w:bCs/>
          <w:lang w:val="en-US"/>
        </w:rPr>
        <w:t xml:space="preserve">The global eye health sector has embraced the aims of </w:t>
      </w:r>
      <w:r w:rsidR="00C162E6">
        <w:rPr>
          <w:bCs/>
          <w:lang w:val="en-US"/>
        </w:rPr>
        <w:t>“</w:t>
      </w:r>
      <w:r w:rsidRPr="00563DA0">
        <w:rPr>
          <w:bCs/>
          <w:lang w:val="en-US"/>
        </w:rPr>
        <w:t>2030 In Sight</w:t>
      </w:r>
      <w:r w:rsidR="00FC73BE">
        <w:rPr>
          <w:bCs/>
          <w:lang w:val="en-US"/>
        </w:rPr>
        <w:t>. Ending Avoidable Sight Loss” – the sector’s strategic plan for the next decade</w:t>
      </w:r>
      <w:r w:rsidRPr="00563DA0">
        <w:rPr>
          <w:bCs/>
          <w:lang w:val="en-US"/>
        </w:rPr>
        <w:t>.</w:t>
      </w:r>
      <w:r w:rsidR="00AB38A5">
        <w:rPr>
          <w:bCs/>
          <w:vertAlign w:val="superscript"/>
          <w:lang w:val="en-US"/>
        </w:rPr>
        <w:t>1</w:t>
      </w:r>
      <w:r w:rsidRPr="00563DA0">
        <w:rPr>
          <w:bCs/>
          <w:lang w:val="en-US"/>
        </w:rPr>
        <w:t xml:space="preserve"> There is broad recognition that eye health affects not only the ability to see but also the quality of life, independence, and wellbeing of individuals and communities. Yet, for too long, planning and programming in this field has been guided primarily by clinical and technical expertise. While essential, these perspectives alone cannot fully capture the day-to-day realities faced by people living with vision impairment or at risk of eye disease. Driving Change for </w:t>
      </w:r>
      <w:r w:rsidR="003B0870">
        <w:rPr>
          <w:bCs/>
          <w:lang w:val="en-US"/>
        </w:rPr>
        <w:t>p</w:t>
      </w:r>
      <w:r w:rsidRPr="00563DA0">
        <w:rPr>
          <w:bCs/>
          <w:lang w:val="en-US"/>
        </w:rPr>
        <w:t>atients with AMD in Central and East Europe seeks to highlight the vital role of patient voice and lived experience in shaping effective, inclusive, and sustainable eye health strategies.</w:t>
      </w:r>
    </w:p>
    <w:p w14:paraId="084FD096" w14:textId="085A7B2A" w:rsidR="00563DA0" w:rsidRPr="00563DA0" w:rsidRDefault="00563DA0" w:rsidP="00563DA0">
      <w:pPr>
        <w:pBdr>
          <w:bottom w:val="single" w:sz="4" w:space="1" w:color="4472C4"/>
        </w:pBdr>
        <w:spacing w:before="120" w:after="120" w:line="360" w:lineRule="auto"/>
        <w:rPr>
          <w:bCs/>
          <w:lang w:val="en-US"/>
        </w:rPr>
      </w:pPr>
      <w:r w:rsidRPr="00563DA0">
        <w:rPr>
          <w:bCs/>
          <w:lang w:val="en-US"/>
        </w:rPr>
        <w:t>Incorporating the insights of people with firsthand experience of AMD, D</w:t>
      </w:r>
      <w:r w:rsidR="007F43C9">
        <w:rPr>
          <w:bCs/>
          <w:lang w:val="en-US"/>
        </w:rPr>
        <w:t>R</w:t>
      </w:r>
      <w:r w:rsidRPr="00563DA0">
        <w:rPr>
          <w:bCs/>
          <w:lang w:val="en-US"/>
        </w:rPr>
        <w:t xml:space="preserve"> and other associated conditions is not just an ethical imperative but also a practical one. Patients and their families hold unique knowledge about barriers to access, cultural considerations, and what truly matters in care and service delivery. When these perspectives are actively integrated, program</w:t>
      </w:r>
      <w:r w:rsidR="003F3E59">
        <w:rPr>
          <w:bCs/>
          <w:lang w:val="en-US"/>
        </w:rPr>
        <w:t>me</w:t>
      </w:r>
      <w:r w:rsidRPr="00563DA0">
        <w:rPr>
          <w:bCs/>
          <w:lang w:val="en-US"/>
        </w:rPr>
        <w:t>s are more likely to achieve equitable outcomes, foster trust, and improve adherence to treatments. By valuing the lived experience of individuals, eye health initiatives can move beyond a one-size-fits-all approach to one that truly delivers integrated, people-centred eye care.</w:t>
      </w:r>
    </w:p>
    <w:p w14:paraId="7901C768" w14:textId="6A72A3BF" w:rsidR="00563DA0" w:rsidRPr="00563DA0" w:rsidRDefault="00563DA0" w:rsidP="004B6E37">
      <w:pPr>
        <w:pBdr>
          <w:bottom w:val="single" w:sz="4" w:space="1" w:color="4472C4"/>
        </w:pBdr>
        <w:spacing w:before="120" w:after="120" w:line="360" w:lineRule="auto"/>
        <w:rPr>
          <w:bCs/>
          <w:lang w:val="en-US"/>
        </w:rPr>
      </w:pPr>
      <w:r w:rsidRPr="00563DA0">
        <w:rPr>
          <w:bCs/>
          <w:lang w:val="en-US"/>
        </w:rPr>
        <w:t>This foreword invites policymakers, practitioners, researchers, and advocates to embrace a multi</w:t>
      </w:r>
      <w:r w:rsidR="007C734B">
        <w:rPr>
          <w:bCs/>
          <w:lang w:val="en-US"/>
        </w:rPr>
        <w:t>l</w:t>
      </w:r>
      <w:r w:rsidRPr="00563DA0">
        <w:rPr>
          <w:bCs/>
          <w:lang w:val="en-US"/>
        </w:rPr>
        <w:t xml:space="preserve">ateral approach; to consider the narratives and expertise of </w:t>
      </w:r>
      <w:r w:rsidR="003C6C41" w:rsidRPr="00563DA0">
        <w:rPr>
          <w:bCs/>
          <w:lang w:val="en-US"/>
        </w:rPr>
        <w:t>lived experience</w:t>
      </w:r>
      <w:r w:rsidRPr="00563DA0">
        <w:rPr>
          <w:bCs/>
          <w:lang w:val="en-US"/>
        </w:rPr>
        <w:t xml:space="preserve"> as indispensable components of their work. To act to address the increasing burden of eye health conditions related to ageing will help to deliver a paradigm shift in eye care and the goals of 2030 InSight across Europe</w:t>
      </w:r>
      <w:r w:rsidR="000A7DDB">
        <w:rPr>
          <w:bCs/>
          <w:lang w:val="en-US"/>
        </w:rPr>
        <w:t xml:space="preserve"> – </w:t>
      </w:r>
      <w:r w:rsidRPr="00563DA0">
        <w:rPr>
          <w:bCs/>
          <w:lang w:val="en-US"/>
        </w:rPr>
        <w:t>especially in the countries of Central and East Europe.</w:t>
      </w:r>
    </w:p>
    <w:p w14:paraId="544BD478" w14:textId="77777777" w:rsidR="00563DA0" w:rsidRPr="00563DA0" w:rsidRDefault="00563DA0" w:rsidP="00563DA0">
      <w:pPr>
        <w:pBdr>
          <w:bottom w:val="single" w:sz="4" w:space="1" w:color="4472C4"/>
        </w:pBdr>
        <w:spacing w:before="120" w:after="120" w:line="360" w:lineRule="auto"/>
        <w:rPr>
          <w:bCs/>
          <w:lang w:val="en-US"/>
        </w:rPr>
      </w:pPr>
    </w:p>
    <w:p w14:paraId="7C22EAD0" w14:textId="77777777" w:rsidR="00563DA0" w:rsidRPr="00563DA0" w:rsidRDefault="00563DA0" w:rsidP="006E13D0">
      <w:pPr>
        <w:pBdr>
          <w:bottom w:val="single" w:sz="4" w:space="1" w:color="4472C4"/>
        </w:pBdr>
        <w:spacing w:after="0" w:line="360" w:lineRule="auto"/>
        <w:rPr>
          <w:bCs/>
          <w:lang w:val="en-US"/>
        </w:rPr>
      </w:pPr>
      <w:r w:rsidRPr="00563DA0">
        <w:rPr>
          <w:bCs/>
          <w:lang w:val="en-US"/>
        </w:rPr>
        <w:t>Drew Keys</w:t>
      </w:r>
    </w:p>
    <w:p w14:paraId="62972AFE" w14:textId="77777777" w:rsidR="00563DA0" w:rsidRPr="00563DA0" w:rsidRDefault="00563DA0" w:rsidP="006E13D0">
      <w:pPr>
        <w:pBdr>
          <w:bottom w:val="single" w:sz="4" w:space="1" w:color="4472C4"/>
        </w:pBdr>
        <w:spacing w:after="0" w:line="360" w:lineRule="auto"/>
        <w:rPr>
          <w:bCs/>
          <w:lang w:val="en-US"/>
        </w:rPr>
      </w:pPr>
      <w:r w:rsidRPr="00563DA0">
        <w:rPr>
          <w:bCs/>
          <w:lang w:val="en-US"/>
        </w:rPr>
        <w:t>Director of Regional Engagement</w:t>
      </w:r>
    </w:p>
    <w:p w14:paraId="5C592ECF" w14:textId="77777777" w:rsidR="00563DA0" w:rsidRPr="00563DA0" w:rsidRDefault="00563DA0" w:rsidP="006E13D0">
      <w:pPr>
        <w:pBdr>
          <w:bottom w:val="single" w:sz="4" w:space="1" w:color="4472C4"/>
        </w:pBdr>
        <w:spacing w:after="0" w:line="360" w:lineRule="auto"/>
        <w:rPr>
          <w:bCs/>
          <w:lang w:val="en-US"/>
        </w:rPr>
      </w:pPr>
      <w:r w:rsidRPr="00563DA0">
        <w:rPr>
          <w:bCs/>
          <w:lang w:val="en-US"/>
        </w:rPr>
        <w:t>International Agency for the Prevention of Blindness (IAPB)</w:t>
      </w:r>
    </w:p>
    <w:p w14:paraId="0000003E" w14:textId="77777777" w:rsidR="00625C02" w:rsidRPr="00563DA0" w:rsidRDefault="00625C02">
      <w:pPr>
        <w:pBdr>
          <w:bottom w:val="single" w:sz="4" w:space="1" w:color="4472C4"/>
        </w:pBdr>
        <w:spacing w:before="120" w:after="120" w:line="360" w:lineRule="auto"/>
        <w:rPr>
          <w:b/>
          <w:lang w:val="en-US"/>
        </w:rPr>
      </w:pPr>
    </w:p>
    <w:p w14:paraId="0000003F" w14:textId="77777777" w:rsidR="00625C02" w:rsidRDefault="00625C02">
      <w:pPr>
        <w:spacing w:before="120" w:after="120" w:line="360" w:lineRule="auto"/>
        <w:rPr>
          <w:rFonts w:ascii="Arial" w:eastAsia="Arial" w:hAnsi="Arial" w:cs="Arial"/>
          <w:b/>
        </w:rPr>
      </w:pPr>
    </w:p>
    <w:p w14:paraId="17FE18B1" w14:textId="5C425CF9" w:rsidR="009C17AF" w:rsidRPr="00C51991" w:rsidRDefault="009C17AF" w:rsidP="005A4708">
      <w:pPr>
        <w:pStyle w:val="ListParagraph"/>
        <w:numPr>
          <w:ilvl w:val="0"/>
          <w:numId w:val="23"/>
        </w:numPr>
        <w:spacing w:before="120" w:after="120" w:line="360" w:lineRule="auto"/>
        <w:rPr>
          <w:lang w:val="en-CA"/>
        </w:rPr>
      </w:pPr>
      <w:r w:rsidRPr="00C51991">
        <w:rPr>
          <w:lang w:val="en-CA"/>
        </w:rPr>
        <w:t>International Agency for the Prevention of Blindness (IAPB). (202</w:t>
      </w:r>
      <w:r w:rsidR="00C70DE1">
        <w:rPr>
          <w:lang w:val="en-CA"/>
        </w:rPr>
        <w:t>1</w:t>
      </w:r>
      <w:r w:rsidRPr="00C51991">
        <w:rPr>
          <w:lang w:val="en-CA"/>
        </w:rPr>
        <w:t xml:space="preserve">). </w:t>
      </w:r>
      <w:r w:rsidR="00B0066D" w:rsidRPr="00B0066D">
        <w:rPr>
          <w:i/>
          <w:iCs/>
          <w:lang w:val="en-CA"/>
        </w:rPr>
        <w:t>2030 In Sight</w:t>
      </w:r>
      <w:r w:rsidRPr="00C51991">
        <w:rPr>
          <w:i/>
          <w:iCs/>
          <w:lang w:val="en-CA"/>
        </w:rPr>
        <w:t>.</w:t>
      </w:r>
      <w:r w:rsidR="002A6CF3">
        <w:rPr>
          <w:i/>
          <w:lang w:val="en-CA"/>
        </w:rPr>
        <w:t xml:space="preserve"> </w:t>
      </w:r>
      <w:r w:rsidR="002A6CF3">
        <w:rPr>
          <w:i/>
          <w:iCs/>
          <w:lang w:val="en-CA"/>
        </w:rPr>
        <w:t>Ending Avoidable Sight Loss.</w:t>
      </w:r>
      <w:r w:rsidRPr="00C51991">
        <w:rPr>
          <w:lang w:val="en-CA"/>
        </w:rPr>
        <w:t xml:space="preserve"> </w:t>
      </w:r>
      <w:hyperlink r:id="rId11" w:history="1">
        <w:r w:rsidR="005A4708" w:rsidRPr="005A4708">
          <w:rPr>
            <w:rStyle w:val="Hyperlink"/>
          </w:rPr>
          <w:t>2030 In Sight - International Agency of the Prevention of Blindness</w:t>
        </w:r>
      </w:hyperlink>
    </w:p>
    <w:p w14:paraId="00000042" w14:textId="77777777" w:rsidR="00625C02" w:rsidRDefault="00625C02">
      <w:pPr>
        <w:spacing w:before="120" w:after="120" w:line="360" w:lineRule="auto"/>
        <w:rPr>
          <w:rFonts w:ascii="Arial" w:eastAsia="Arial" w:hAnsi="Arial" w:cs="Arial"/>
          <w:b/>
        </w:rPr>
      </w:pPr>
    </w:p>
    <w:p w14:paraId="0000005B" w14:textId="78B36BC3" w:rsidR="00625C02" w:rsidRDefault="00A22398">
      <w:pPr>
        <w:spacing w:before="120" w:after="120" w:line="360" w:lineRule="auto"/>
        <w:rPr>
          <w:rFonts w:ascii="Arial" w:eastAsia="Arial" w:hAnsi="Arial" w:cs="Arial"/>
          <w:b/>
        </w:rPr>
      </w:pPr>
      <w:r>
        <w:rPr>
          <w:rFonts w:ascii="Arial" w:eastAsia="Arial" w:hAnsi="Arial" w:cs="Arial"/>
          <w:b/>
        </w:rPr>
        <w:t>ABBREVIATIONS:</w:t>
      </w:r>
    </w:p>
    <w:tbl>
      <w:tblPr>
        <w:tblStyle w:val="a"/>
        <w:tblW w:w="8124" w:type="dxa"/>
        <w:tblLayout w:type="fixed"/>
        <w:tblLook w:val="0400" w:firstRow="0" w:lastRow="0" w:firstColumn="0" w:lastColumn="0" w:noHBand="0" w:noVBand="1"/>
      </w:tblPr>
      <w:tblGrid>
        <w:gridCol w:w="1843"/>
        <w:gridCol w:w="6281"/>
      </w:tblGrid>
      <w:tr w:rsidR="00625C02" w14:paraId="14EB2B89" w14:textId="77777777">
        <w:trPr>
          <w:tblHeader/>
        </w:trPr>
        <w:tc>
          <w:tcPr>
            <w:tcW w:w="1843" w:type="dxa"/>
            <w:vAlign w:val="center"/>
          </w:tcPr>
          <w:p w14:paraId="0000005C" w14:textId="77777777" w:rsidR="00625C02" w:rsidRDefault="00A22398">
            <w:pPr>
              <w:spacing w:before="120" w:after="120" w:line="360" w:lineRule="auto"/>
              <w:rPr>
                <w:b/>
              </w:rPr>
            </w:pPr>
            <w:r>
              <w:rPr>
                <w:b/>
              </w:rPr>
              <w:t>Abbreviation</w:t>
            </w:r>
          </w:p>
        </w:tc>
        <w:tc>
          <w:tcPr>
            <w:tcW w:w="6281" w:type="dxa"/>
            <w:vAlign w:val="center"/>
          </w:tcPr>
          <w:p w14:paraId="0000005D" w14:textId="77777777" w:rsidR="00625C02" w:rsidRDefault="00A22398">
            <w:pPr>
              <w:spacing w:before="120" w:after="120" w:line="360" w:lineRule="auto"/>
              <w:rPr>
                <w:b/>
              </w:rPr>
            </w:pPr>
            <w:r>
              <w:rPr>
                <w:b/>
              </w:rPr>
              <w:t>Definition</w:t>
            </w:r>
          </w:p>
        </w:tc>
      </w:tr>
      <w:tr w:rsidR="00625C02" w14:paraId="1CF1D18E" w14:textId="77777777">
        <w:tc>
          <w:tcPr>
            <w:tcW w:w="1843" w:type="dxa"/>
            <w:vAlign w:val="center"/>
          </w:tcPr>
          <w:p w14:paraId="0000005E" w14:textId="77777777" w:rsidR="00625C02" w:rsidRDefault="00A22398">
            <w:pPr>
              <w:spacing w:before="120" w:after="120" w:line="360" w:lineRule="auto"/>
              <w:rPr>
                <w:b/>
              </w:rPr>
            </w:pPr>
            <w:r>
              <w:rPr>
                <w:b/>
              </w:rPr>
              <w:t>AI</w:t>
            </w:r>
          </w:p>
        </w:tc>
        <w:tc>
          <w:tcPr>
            <w:tcW w:w="6281" w:type="dxa"/>
            <w:vAlign w:val="center"/>
          </w:tcPr>
          <w:p w14:paraId="0000005F" w14:textId="77777777" w:rsidR="00625C02" w:rsidRDefault="00A22398">
            <w:pPr>
              <w:spacing w:before="120" w:after="120" w:line="360" w:lineRule="auto"/>
            </w:pPr>
            <w:r>
              <w:t>Artificial Intelligence</w:t>
            </w:r>
          </w:p>
        </w:tc>
      </w:tr>
      <w:tr w:rsidR="00625C02" w14:paraId="04010390" w14:textId="77777777">
        <w:tc>
          <w:tcPr>
            <w:tcW w:w="1843" w:type="dxa"/>
            <w:vAlign w:val="center"/>
          </w:tcPr>
          <w:p w14:paraId="00000060" w14:textId="77777777" w:rsidR="00625C02" w:rsidRDefault="00A22398">
            <w:pPr>
              <w:spacing w:before="120" w:after="120" w:line="360" w:lineRule="auto"/>
              <w:rPr>
                <w:b/>
              </w:rPr>
            </w:pPr>
            <w:r>
              <w:rPr>
                <w:b/>
              </w:rPr>
              <w:t>AMD</w:t>
            </w:r>
          </w:p>
        </w:tc>
        <w:tc>
          <w:tcPr>
            <w:tcW w:w="6281" w:type="dxa"/>
            <w:vAlign w:val="center"/>
          </w:tcPr>
          <w:p w14:paraId="00000061" w14:textId="77777777" w:rsidR="00625C02" w:rsidRDefault="00A22398">
            <w:pPr>
              <w:spacing w:before="120" w:after="120" w:line="360" w:lineRule="auto"/>
            </w:pPr>
            <w:r>
              <w:t>Age-related Macular Degeneration</w:t>
            </w:r>
          </w:p>
        </w:tc>
      </w:tr>
      <w:tr w:rsidR="00625C02" w14:paraId="35F27006" w14:textId="77777777">
        <w:tc>
          <w:tcPr>
            <w:tcW w:w="1843" w:type="dxa"/>
            <w:vAlign w:val="center"/>
          </w:tcPr>
          <w:p w14:paraId="00000062" w14:textId="77777777" w:rsidR="00625C02" w:rsidRDefault="00A22398">
            <w:pPr>
              <w:spacing w:before="120" w:after="120" w:line="360" w:lineRule="auto"/>
              <w:rPr>
                <w:b/>
              </w:rPr>
            </w:pPr>
            <w:r>
              <w:rPr>
                <w:b/>
              </w:rPr>
              <w:t>CEE</w:t>
            </w:r>
          </w:p>
        </w:tc>
        <w:tc>
          <w:tcPr>
            <w:tcW w:w="6281" w:type="dxa"/>
            <w:vAlign w:val="center"/>
          </w:tcPr>
          <w:p w14:paraId="00000063" w14:textId="4A2C7F54" w:rsidR="00625C02" w:rsidRDefault="00A22398">
            <w:pPr>
              <w:spacing w:before="120" w:after="120" w:line="360" w:lineRule="auto"/>
            </w:pPr>
            <w:r>
              <w:t>Central and East Europe</w:t>
            </w:r>
          </w:p>
        </w:tc>
      </w:tr>
      <w:tr w:rsidR="00625C02" w14:paraId="30C05F50" w14:textId="77777777">
        <w:tc>
          <w:tcPr>
            <w:tcW w:w="1843" w:type="dxa"/>
            <w:vAlign w:val="center"/>
          </w:tcPr>
          <w:p w14:paraId="00000064" w14:textId="77777777" w:rsidR="00625C02" w:rsidRDefault="00A22398">
            <w:pPr>
              <w:spacing w:before="120" w:after="120" w:line="360" w:lineRule="auto"/>
              <w:rPr>
                <w:b/>
              </w:rPr>
            </w:pPr>
            <w:r>
              <w:rPr>
                <w:b/>
              </w:rPr>
              <w:t>DALY</w:t>
            </w:r>
          </w:p>
        </w:tc>
        <w:tc>
          <w:tcPr>
            <w:tcW w:w="6281" w:type="dxa"/>
            <w:vAlign w:val="center"/>
          </w:tcPr>
          <w:p w14:paraId="00000065" w14:textId="77777777" w:rsidR="00625C02" w:rsidRDefault="00A22398">
            <w:pPr>
              <w:spacing w:before="120" w:after="120" w:line="360" w:lineRule="auto"/>
            </w:pPr>
            <w:r>
              <w:t>Disability-Adjusted Life Year</w:t>
            </w:r>
          </w:p>
        </w:tc>
      </w:tr>
      <w:tr w:rsidR="00625C02" w14:paraId="5F153E54" w14:textId="77777777">
        <w:tc>
          <w:tcPr>
            <w:tcW w:w="1843" w:type="dxa"/>
            <w:vAlign w:val="center"/>
          </w:tcPr>
          <w:p w14:paraId="00000066" w14:textId="77777777" w:rsidR="00625C02" w:rsidRDefault="00A22398">
            <w:pPr>
              <w:spacing w:before="120" w:after="120" w:line="360" w:lineRule="auto"/>
              <w:rPr>
                <w:b/>
              </w:rPr>
            </w:pPr>
            <w:r>
              <w:rPr>
                <w:b/>
              </w:rPr>
              <w:t>DME</w:t>
            </w:r>
          </w:p>
        </w:tc>
        <w:tc>
          <w:tcPr>
            <w:tcW w:w="6281" w:type="dxa"/>
            <w:vAlign w:val="center"/>
          </w:tcPr>
          <w:p w14:paraId="00000067" w14:textId="77777777" w:rsidR="00625C02" w:rsidRDefault="00A22398">
            <w:pPr>
              <w:spacing w:before="120" w:after="120" w:line="360" w:lineRule="auto"/>
            </w:pPr>
            <w:r>
              <w:t>Diabetic Macular Edema (or Oedema)</w:t>
            </w:r>
          </w:p>
        </w:tc>
      </w:tr>
      <w:tr w:rsidR="00625C02" w14:paraId="4D04F42E" w14:textId="77777777">
        <w:tc>
          <w:tcPr>
            <w:tcW w:w="1843" w:type="dxa"/>
            <w:vAlign w:val="center"/>
          </w:tcPr>
          <w:p w14:paraId="00000068" w14:textId="77777777" w:rsidR="00625C02" w:rsidRDefault="00A22398">
            <w:pPr>
              <w:spacing w:before="120" w:after="120" w:line="360" w:lineRule="auto"/>
              <w:rPr>
                <w:b/>
              </w:rPr>
            </w:pPr>
            <w:r>
              <w:rPr>
                <w:b/>
              </w:rPr>
              <w:t>DR</w:t>
            </w:r>
          </w:p>
        </w:tc>
        <w:tc>
          <w:tcPr>
            <w:tcW w:w="6281" w:type="dxa"/>
            <w:vAlign w:val="center"/>
          </w:tcPr>
          <w:p w14:paraId="00000069" w14:textId="77777777" w:rsidR="00625C02" w:rsidRDefault="00A22398">
            <w:pPr>
              <w:spacing w:before="120" w:after="120" w:line="360" w:lineRule="auto"/>
            </w:pPr>
            <w:r>
              <w:t>Diabetic Retinopathy</w:t>
            </w:r>
          </w:p>
        </w:tc>
      </w:tr>
      <w:tr w:rsidR="00625C02" w14:paraId="5218767B" w14:textId="77777777">
        <w:tc>
          <w:tcPr>
            <w:tcW w:w="1843" w:type="dxa"/>
            <w:vAlign w:val="center"/>
          </w:tcPr>
          <w:p w14:paraId="0000006A" w14:textId="77777777" w:rsidR="00625C02" w:rsidRDefault="00A22398">
            <w:pPr>
              <w:spacing w:before="120" w:after="120" w:line="360" w:lineRule="auto"/>
              <w:rPr>
                <w:b/>
              </w:rPr>
            </w:pPr>
            <w:r>
              <w:rPr>
                <w:b/>
              </w:rPr>
              <w:t>EFPIA</w:t>
            </w:r>
          </w:p>
        </w:tc>
        <w:tc>
          <w:tcPr>
            <w:tcW w:w="6281" w:type="dxa"/>
            <w:vAlign w:val="center"/>
          </w:tcPr>
          <w:p w14:paraId="0000006B" w14:textId="77777777" w:rsidR="00625C02" w:rsidRDefault="00A22398">
            <w:pPr>
              <w:spacing w:before="120" w:after="120" w:line="360" w:lineRule="auto"/>
            </w:pPr>
            <w:r>
              <w:t>European Federation of Pharmaceutical Industries and Associations</w:t>
            </w:r>
          </w:p>
        </w:tc>
      </w:tr>
      <w:tr w:rsidR="00625C02" w14:paraId="0F862A7F" w14:textId="77777777">
        <w:tc>
          <w:tcPr>
            <w:tcW w:w="1843" w:type="dxa"/>
            <w:vAlign w:val="center"/>
          </w:tcPr>
          <w:p w14:paraId="0000006C" w14:textId="77777777" w:rsidR="00625C02" w:rsidRDefault="00A22398">
            <w:pPr>
              <w:spacing w:before="120" w:after="120" w:line="360" w:lineRule="auto"/>
              <w:rPr>
                <w:b/>
              </w:rPr>
            </w:pPr>
            <w:r>
              <w:rPr>
                <w:b/>
              </w:rPr>
              <w:t>EMA</w:t>
            </w:r>
          </w:p>
        </w:tc>
        <w:tc>
          <w:tcPr>
            <w:tcW w:w="6281" w:type="dxa"/>
            <w:vAlign w:val="center"/>
          </w:tcPr>
          <w:p w14:paraId="0000006D" w14:textId="77777777" w:rsidR="00625C02" w:rsidRDefault="00A22398">
            <w:pPr>
              <w:spacing w:before="120" w:after="120" w:line="360" w:lineRule="auto"/>
            </w:pPr>
            <w:r>
              <w:t>European Medicines Agency</w:t>
            </w:r>
          </w:p>
        </w:tc>
      </w:tr>
      <w:tr w:rsidR="00625C02" w14:paraId="29190D80" w14:textId="77777777">
        <w:tc>
          <w:tcPr>
            <w:tcW w:w="1843" w:type="dxa"/>
            <w:vAlign w:val="center"/>
          </w:tcPr>
          <w:p w14:paraId="0000006E" w14:textId="77777777" w:rsidR="00625C02" w:rsidRDefault="00A22398">
            <w:pPr>
              <w:spacing w:before="120" w:after="120" w:line="360" w:lineRule="auto"/>
              <w:rPr>
                <w:b/>
              </w:rPr>
            </w:pPr>
            <w:r>
              <w:rPr>
                <w:b/>
              </w:rPr>
              <w:t>EUPATI</w:t>
            </w:r>
          </w:p>
        </w:tc>
        <w:tc>
          <w:tcPr>
            <w:tcW w:w="6281" w:type="dxa"/>
            <w:vAlign w:val="center"/>
          </w:tcPr>
          <w:p w14:paraId="0000006F" w14:textId="77777777" w:rsidR="00625C02" w:rsidRDefault="00A22398">
            <w:pPr>
              <w:spacing w:before="120" w:after="120" w:line="360" w:lineRule="auto"/>
            </w:pPr>
            <w:r>
              <w:t>European Patients’ Academy on Therapeutic Innovation</w:t>
            </w:r>
          </w:p>
        </w:tc>
      </w:tr>
      <w:tr w:rsidR="00625C02" w14:paraId="4127A64A" w14:textId="77777777">
        <w:tc>
          <w:tcPr>
            <w:tcW w:w="1843" w:type="dxa"/>
            <w:vAlign w:val="center"/>
          </w:tcPr>
          <w:p w14:paraId="00000070" w14:textId="77777777" w:rsidR="00625C02" w:rsidRDefault="00A22398">
            <w:pPr>
              <w:spacing w:before="120" w:after="120" w:line="360" w:lineRule="auto"/>
              <w:rPr>
                <w:b/>
              </w:rPr>
            </w:pPr>
            <w:r>
              <w:rPr>
                <w:b/>
              </w:rPr>
              <w:t>EU</w:t>
            </w:r>
          </w:p>
        </w:tc>
        <w:tc>
          <w:tcPr>
            <w:tcW w:w="6281" w:type="dxa"/>
            <w:vAlign w:val="center"/>
          </w:tcPr>
          <w:p w14:paraId="00000071" w14:textId="77777777" w:rsidR="00625C02" w:rsidRDefault="00A22398">
            <w:pPr>
              <w:spacing w:before="120" w:after="120" w:line="360" w:lineRule="auto"/>
            </w:pPr>
            <w:r>
              <w:t>European Union</w:t>
            </w:r>
          </w:p>
        </w:tc>
      </w:tr>
      <w:tr w:rsidR="00625C02" w14:paraId="292346F7" w14:textId="77777777">
        <w:tc>
          <w:tcPr>
            <w:tcW w:w="1843" w:type="dxa"/>
            <w:vAlign w:val="center"/>
          </w:tcPr>
          <w:p w14:paraId="2E0B12AA" w14:textId="77777777" w:rsidR="00625C02" w:rsidRDefault="00A22398">
            <w:pPr>
              <w:spacing w:before="120" w:after="120" w:line="360" w:lineRule="auto"/>
              <w:rPr>
                <w:b/>
              </w:rPr>
            </w:pPr>
            <w:r>
              <w:rPr>
                <w:b/>
              </w:rPr>
              <w:t>EVICR.net</w:t>
            </w:r>
          </w:p>
          <w:p w14:paraId="00000072" w14:textId="7F837B17" w:rsidR="00491D55" w:rsidRDefault="00491D55">
            <w:pPr>
              <w:spacing w:before="120" w:after="120" w:line="360" w:lineRule="auto"/>
              <w:rPr>
                <w:b/>
              </w:rPr>
            </w:pPr>
            <w:r>
              <w:rPr>
                <w:b/>
              </w:rPr>
              <w:t>GA</w:t>
            </w:r>
          </w:p>
        </w:tc>
        <w:tc>
          <w:tcPr>
            <w:tcW w:w="6281" w:type="dxa"/>
            <w:vAlign w:val="center"/>
          </w:tcPr>
          <w:p w14:paraId="77BE0252" w14:textId="77777777" w:rsidR="006C3FD9" w:rsidRDefault="00A22398">
            <w:pPr>
              <w:spacing w:before="120" w:after="120" w:line="360" w:lineRule="auto"/>
            </w:pPr>
            <w:r>
              <w:t>European Vision Institute Clinical Research Network</w:t>
            </w:r>
          </w:p>
          <w:p w14:paraId="00000073" w14:textId="03015D89" w:rsidR="00491D55" w:rsidRDefault="00491D55">
            <w:pPr>
              <w:spacing w:before="120" w:after="120" w:line="360" w:lineRule="auto"/>
            </w:pPr>
            <w:r>
              <w:t>Geographic atrophy</w:t>
            </w:r>
          </w:p>
        </w:tc>
      </w:tr>
      <w:tr w:rsidR="00625C02" w14:paraId="496642A7" w14:textId="77777777">
        <w:tc>
          <w:tcPr>
            <w:tcW w:w="1843" w:type="dxa"/>
            <w:vAlign w:val="center"/>
          </w:tcPr>
          <w:p w14:paraId="00000074" w14:textId="77777777" w:rsidR="00625C02" w:rsidRDefault="00A22398">
            <w:pPr>
              <w:spacing w:before="120" w:after="120" w:line="360" w:lineRule="auto"/>
              <w:rPr>
                <w:b/>
              </w:rPr>
            </w:pPr>
            <w:r>
              <w:rPr>
                <w:b/>
              </w:rPr>
              <w:t>GP</w:t>
            </w:r>
          </w:p>
        </w:tc>
        <w:tc>
          <w:tcPr>
            <w:tcW w:w="6281" w:type="dxa"/>
            <w:vAlign w:val="center"/>
          </w:tcPr>
          <w:p w14:paraId="00000075" w14:textId="77777777" w:rsidR="00625C02" w:rsidRDefault="00A22398">
            <w:pPr>
              <w:spacing w:before="120" w:after="120" w:line="360" w:lineRule="auto"/>
            </w:pPr>
            <w:r>
              <w:t>General Practitioner</w:t>
            </w:r>
          </w:p>
        </w:tc>
      </w:tr>
      <w:tr w:rsidR="00625C02" w14:paraId="7317E119" w14:textId="77777777">
        <w:tc>
          <w:tcPr>
            <w:tcW w:w="1843" w:type="dxa"/>
            <w:vAlign w:val="center"/>
          </w:tcPr>
          <w:p w14:paraId="00000076" w14:textId="77777777" w:rsidR="00625C02" w:rsidRDefault="00A22398">
            <w:pPr>
              <w:spacing w:before="120" w:after="120" w:line="360" w:lineRule="auto"/>
              <w:rPr>
                <w:b/>
              </w:rPr>
            </w:pPr>
            <w:r>
              <w:rPr>
                <w:b/>
              </w:rPr>
              <w:t>HER2+</w:t>
            </w:r>
          </w:p>
        </w:tc>
        <w:tc>
          <w:tcPr>
            <w:tcW w:w="6281" w:type="dxa"/>
            <w:vAlign w:val="center"/>
          </w:tcPr>
          <w:p w14:paraId="00000077" w14:textId="77777777" w:rsidR="00625C02" w:rsidRDefault="00A22398">
            <w:pPr>
              <w:spacing w:before="120" w:after="120" w:line="360" w:lineRule="auto"/>
            </w:pPr>
            <w:r>
              <w:t>Human Epidermal Growth Factor Receptor 2 Positive</w:t>
            </w:r>
          </w:p>
        </w:tc>
      </w:tr>
      <w:tr w:rsidR="00625C02" w14:paraId="76237384" w14:textId="77777777">
        <w:tc>
          <w:tcPr>
            <w:tcW w:w="1843" w:type="dxa"/>
            <w:vAlign w:val="center"/>
          </w:tcPr>
          <w:p w14:paraId="00000078" w14:textId="77777777" w:rsidR="00625C02" w:rsidRDefault="00A22398">
            <w:pPr>
              <w:spacing w:before="120" w:after="120" w:line="360" w:lineRule="auto"/>
              <w:rPr>
                <w:b/>
              </w:rPr>
            </w:pPr>
            <w:r>
              <w:rPr>
                <w:b/>
              </w:rPr>
              <w:t>IFA</w:t>
            </w:r>
          </w:p>
        </w:tc>
        <w:tc>
          <w:tcPr>
            <w:tcW w:w="6281" w:type="dxa"/>
            <w:vAlign w:val="center"/>
          </w:tcPr>
          <w:p w14:paraId="00000079" w14:textId="77777777" w:rsidR="00625C02" w:rsidRDefault="00A22398">
            <w:pPr>
              <w:spacing w:before="120" w:after="120" w:line="360" w:lineRule="auto"/>
            </w:pPr>
            <w:r>
              <w:t>International Federation on Ageing</w:t>
            </w:r>
          </w:p>
        </w:tc>
      </w:tr>
      <w:tr w:rsidR="00625C02" w14:paraId="49137D79" w14:textId="77777777">
        <w:tc>
          <w:tcPr>
            <w:tcW w:w="1843" w:type="dxa"/>
            <w:vAlign w:val="center"/>
          </w:tcPr>
          <w:p w14:paraId="0000007A" w14:textId="77777777" w:rsidR="00625C02" w:rsidRDefault="00A22398">
            <w:pPr>
              <w:spacing w:before="120" w:after="120" w:line="360" w:lineRule="auto"/>
              <w:rPr>
                <w:b/>
              </w:rPr>
            </w:pPr>
            <w:r>
              <w:rPr>
                <w:b/>
              </w:rPr>
              <w:t>ILO</w:t>
            </w:r>
          </w:p>
        </w:tc>
        <w:tc>
          <w:tcPr>
            <w:tcW w:w="6281" w:type="dxa"/>
            <w:vAlign w:val="center"/>
          </w:tcPr>
          <w:p w14:paraId="0000007B" w14:textId="77777777" w:rsidR="00625C02" w:rsidRDefault="00A22398">
            <w:pPr>
              <w:spacing w:before="120" w:after="120" w:line="360" w:lineRule="auto"/>
            </w:pPr>
            <w:r>
              <w:t>International Labour Organization</w:t>
            </w:r>
          </w:p>
        </w:tc>
      </w:tr>
      <w:tr w:rsidR="00625C02" w14:paraId="0BC161CD" w14:textId="77777777">
        <w:tc>
          <w:tcPr>
            <w:tcW w:w="1843" w:type="dxa"/>
            <w:vAlign w:val="center"/>
          </w:tcPr>
          <w:p w14:paraId="0000007C" w14:textId="77777777" w:rsidR="00625C02" w:rsidRDefault="00A22398">
            <w:pPr>
              <w:spacing w:before="120" w:after="120" w:line="360" w:lineRule="auto"/>
              <w:rPr>
                <w:b/>
              </w:rPr>
            </w:pPr>
            <w:r>
              <w:rPr>
                <w:b/>
              </w:rPr>
              <w:t>IT</w:t>
            </w:r>
          </w:p>
        </w:tc>
        <w:tc>
          <w:tcPr>
            <w:tcW w:w="6281" w:type="dxa"/>
            <w:vAlign w:val="center"/>
          </w:tcPr>
          <w:p w14:paraId="0000007D" w14:textId="77777777" w:rsidR="00625C02" w:rsidRDefault="00A22398">
            <w:pPr>
              <w:spacing w:before="120" w:after="120" w:line="360" w:lineRule="auto"/>
            </w:pPr>
            <w:r>
              <w:t>Information Technology</w:t>
            </w:r>
          </w:p>
        </w:tc>
      </w:tr>
      <w:tr w:rsidR="00625C02" w14:paraId="14D1BCF5" w14:textId="77777777">
        <w:tc>
          <w:tcPr>
            <w:tcW w:w="1843" w:type="dxa"/>
            <w:vAlign w:val="center"/>
          </w:tcPr>
          <w:p w14:paraId="0000007E" w14:textId="77777777" w:rsidR="00625C02" w:rsidRDefault="00A22398">
            <w:pPr>
              <w:spacing w:before="120" w:after="120" w:line="360" w:lineRule="auto"/>
              <w:rPr>
                <w:b/>
              </w:rPr>
            </w:pPr>
            <w:r>
              <w:rPr>
                <w:b/>
              </w:rPr>
              <w:t>NCD</w:t>
            </w:r>
          </w:p>
        </w:tc>
        <w:tc>
          <w:tcPr>
            <w:tcW w:w="6281" w:type="dxa"/>
            <w:vAlign w:val="center"/>
          </w:tcPr>
          <w:p w14:paraId="0000007F" w14:textId="77777777" w:rsidR="00625C02" w:rsidRDefault="00A22398">
            <w:pPr>
              <w:spacing w:before="120" w:after="120" w:line="360" w:lineRule="auto"/>
            </w:pPr>
            <w:r>
              <w:t>Non-Communicable Disease</w:t>
            </w:r>
          </w:p>
        </w:tc>
      </w:tr>
      <w:tr w:rsidR="00625C02" w14:paraId="4D4AC16B" w14:textId="77777777">
        <w:tc>
          <w:tcPr>
            <w:tcW w:w="1843" w:type="dxa"/>
            <w:vAlign w:val="center"/>
          </w:tcPr>
          <w:p w14:paraId="00000080" w14:textId="77777777" w:rsidR="00625C02" w:rsidRDefault="00A22398">
            <w:pPr>
              <w:spacing w:before="120" w:after="120" w:line="360" w:lineRule="auto"/>
              <w:rPr>
                <w:b/>
              </w:rPr>
            </w:pPr>
            <w:r>
              <w:rPr>
                <w:b/>
              </w:rPr>
              <w:t>NGO</w:t>
            </w:r>
          </w:p>
        </w:tc>
        <w:tc>
          <w:tcPr>
            <w:tcW w:w="6281" w:type="dxa"/>
            <w:vAlign w:val="center"/>
          </w:tcPr>
          <w:p w14:paraId="00000081" w14:textId="77777777" w:rsidR="00625C02" w:rsidRDefault="00A22398">
            <w:pPr>
              <w:spacing w:before="120" w:after="120" w:line="360" w:lineRule="auto"/>
            </w:pPr>
            <w:r>
              <w:t>Non-Governmental Organization</w:t>
            </w:r>
          </w:p>
        </w:tc>
      </w:tr>
      <w:tr w:rsidR="00625C02" w14:paraId="47EB0B79" w14:textId="77777777">
        <w:tc>
          <w:tcPr>
            <w:tcW w:w="1843" w:type="dxa"/>
            <w:vAlign w:val="center"/>
          </w:tcPr>
          <w:p w14:paraId="00000082" w14:textId="77777777" w:rsidR="00625C02" w:rsidRDefault="00A22398">
            <w:pPr>
              <w:spacing w:before="120" w:after="120" w:line="360" w:lineRule="auto"/>
              <w:rPr>
                <w:b/>
              </w:rPr>
            </w:pPr>
            <w:r>
              <w:rPr>
                <w:b/>
              </w:rPr>
              <w:lastRenderedPageBreak/>
              <w:t>nAMD</w:t>
            </w:r>
          </w:p>
        </w:tc>
        <w:tc>
          <w:tcPr>
            <w:tcW w:w="6281" w:type="dxa"/>
            <w:vAlign w:val="center"/>
          </w:tcPr>
          <w:p w14:paraId="00000083" w14:textId="77777777" w:rsidR="00625C02" w:rsidRDefault="00A22398">
            <w:pPr>
              <w:spacing w:before="120" w:after="120" w:line="360" w:lineRule="auto"/>
            </w:pPr>
            <w:r>
              <w:t>Neovascular Age-related Macular Degeneration</w:t>
            </w:r>
          </w:p>
        </w:tc>
      </w:tr>
      <w:tr w:rsidR="00625C02" w14:paraId="1F24067D" w14:textId="77777777">
        <w:tc>
          <w:tcPr>
            <w:tcW w:w="1843" w:type="dxa"/>
            <w:vAlign w:val="center"/>
          </w:tcPr>
          <w:p w14:paraId="00000084" w14:textId="77777777" w:rsidR="00625C02" w:rsidRDefault="00A22398">
            <w:pPr>
              <w:spacing w:before="120" w:after="120" w:line="360" w:lineRule="auto"/>
              <w:rPr>
                <w:b/>
              </w:rPr>
            </w:pPr>
            <w:r>
              <w:rPr>
                <w:b/>
              </w:rPr>
              <w:t>OCT</w:t>
            </w:r>
          </w:p>
        </w:tc>
        <w:tc>
          <w:tcPr>
            <w:tcW w:w="6281" w:type="dxa"/>
            <w:vAlign w:val="center"/>
          </w:tcPr>
          <w:p w14:paraId="00000085" w14:textId="77777777" w:rsidR="00625C02" w:rsidRDefault="00A22398">
            <w:pPr>
              <w:spacing w:before="120" w:after="120" w:line="360" w:lineRule="auto"/>
            </w:pPr>
            <w:r>
              <w:t>Optical Coherence Tomography</w:t>
            </w:r>
          </w:p>
        </w:tc>
      </w:tr>
      <w:tr w:rsidR="00625C02" w14:paraId="4419A19B" w14:textId="77777777">
        <w:tc>
          <w:tcPr>
            <w:tcW w:w="1843" w:type="dxa"/>
            <w:vAlign w:val="center"/>
          </w:tcPr>
          <w:p w14:paraId="00000086" w14:textId="77777777" w:rsidR="00625C02" w:rsidRDefault="00A22398">
            <w:pPr>
              <w:spacing w:before="120" w:after="120" w:line="360" w:lineRule="auto"/>
              <w:rPr>
                <w:b/>
              </w:rPr>
            </w:pPr>
            <w:r>
              <w:rPr>
                <w:b/>
              </w:rPr>
              <w:t>PAG</w:t>
            </w:r>
          </w:p>
        </w:tc>
        <w:tc>
          <w:tcPr>
            <w:tcW w:w="6281" w:type="dxa"/>
            <w:vAlign w:val="center"/>
          </w:tcPr>
          <w:p w14:paraId="00000087" w14:textId="77777777" w:rsidR="00625C02" w:rsidRDefault="00A22398">
            <w:pPr>
              <w:spacing w:before="120" w:after="120" w:line="360" w:lineRule="auto"/>
            </w:pPr>
            <w:r>
              <w:t>Patient Advocacy Group</w:t>
            </w:r>
          </w:p>
        </w:tc>
      </w:tr>
      <w:tr w:rsidR="00625C02" w14:paraId="265999FE" w14:textId="77777777">
        <w:tc>
          <w:tcPr>
            <w:tcW w:w="1843" w:type="dxa"/>
            <w:vAlign w:val="center"/>
          </w:tcPr>
          <w:p w14:paraId="00000088" w14:textId="77777777" w:rsidR="00625C02" w:rsidRDefault="00A22398">
            <w:pPr>
              <w:spacing w:before="120" w:after="120" w:line="360" w:lineRule="auto"/>
              <w:rPr>
                <w:b/>
              </w:rPr>
            </w:pPr>
            <w:r>
              <w:rPr>
                <w:b/>
              </w:rPr>
              <w:t>RVO</w:t>
            </w:r>
          </w:p>
        </w:tc>
        <w:tc>
          <w:tcPr>
            <w:tcW w:w="6281" w:type="dxa"/>
            <w:vAlign w:val="center"/>
          </w:tcPr>
          <w:p w14:paraId="00000089" w14:textId="77777777" w:rsidR="00625C02" w:rsidRDefault="00A22398">
            <w:pPr>
              <w:spacing w:before="120" w:after="120" w:line="360" w:lineRule="auto"/>
            </w:pPr>
            <w:r>
              <w:t>Retinal Vein Occlusion</w:t>
            </w:r>
          </w:p>
        </w:tc>
      </w:tr>
      <w:tr w:rsidR="00625C02" w14:paraId="56756137" w14:textId="77777777">
        <w:tc>
          <w:tcPr>
            <w:tcW w:w="1843" w:type="dxa"/>
            <w:vAlign w:val="center"/>
          </w:tcPr>
          <w:p w14:paraId="0000008A" w14:textId="77777777" w:rsidR="00625C02" w:rsidRDefault="00A22398">
            <w:pPr>
              <w:spacing w:before="120" w:after="120" w:line="360" w:lineRule="auto"/>
              <w:rPr>
                <w:b/>
              </w:rPr>
            </w:pPr>
            <w:r>
              <w:rPr>
                <w:b/>
              </w:rPr>
              <w:t>UN</w:t>
            </w:r>
          </w:p>
        </w:tc>
        <w:tc>
          <w:tcPr>
            <w:tcW w:w="6281" w:type="dxa"/>
            <w:vAlign w:val="center"/>
          </w:tcPr>
          <w:p w14:paraId="0000008B" w14:textId="77777777" w:rsidR="00625C02" w:rsidRDefault="00A22398">
            <w:pPr>
              <w:spacing w:before="120" w:after="120" w:line="360" w:lineRule="auto"/>
            </w:pPr>
            <w:r>
              <w:t>United Nations</w:t>
            </w:r>
          </w:p>
        </w:tc>
      </w:tr>
      <w:tr w:rsidR="00625C02" w14:paraId="701F60CE" w14:textId="77777777">
        <w:tc>
          <w:tcPr>
            <w:tcW w:w="1843" w:type="dxa"/>
            <w:vAlign w:val="center"/>
          </w:tcPr>
          <w:p w14:paraId="0000008C" w14:textId="77777777" w:rsidR="00625C02" w:rsidRDefault="00A22398">
            <w:pPr>
              <w:spacing w:before="120" w:after="120" w:line="360" w:lineRule="auto"/>
              <w:rPr>
                <w:b/>
              </w:rPr>
            </w:pPr>
            <w:r>
              <w:rPr>
                <w:b/>
              </w:rPr>
              <w:t>VEGF</w:t>
            </w:r>
          </w:p>
        </w:tc>
        <w:tc>
          <w:tcPr>
            <w:tcW w:w="6281" w:type="dxa"/>
            <w:vAlign w:val="center"/>
          </w:tcPr>
          <w:p w14:paraId="0000008D" w14:textId="77777777" w:rsidR="00625C02" w:rsidRDefault="00A22398">
            <w:pPr>
              <w:spacing w:before="120" w:after="120" w:line="360" w:lineRule="auto"/>
            </w:pPr>
            <w:r>
              <w:t>Vascular Endothelial Growth Factor</w:t>
            </w:r>
          </w:p>
        </w:tc>
      </w:tr>
      <w:tr w:rsidR="00625C02" w14:paraId="7ED1B944" w14:textId="77777777">
        <w:trPr>
          <w:trHeight w:val="30"/>
        </w:trPr>
        <w:tc>
          <w:tcPr>
            <w:tcW w:w="1843" w:type="dxa"/>
            <w:vAlign w:val="center"/>
          </w:tcPr>
          <w:p w14:paraId="0000008E" w14:textId="77777777" w:rsidR="00625C02" w:rsidRDefault="00A22398">
            <w:pPr>
              <w:spacing w:before="120" w:after="120" w:line="360" w:lineRule="auto"/>
              <w:rPr>
                <w:b/>
              </w:rPr>
            </w:pPr>
            <w:r>
              <w:rPr>
                <w:b/>
              </w:rPr>
              <w:t>WHO</w:t>
            </w:r>
          </w:p>
        </w:tc>
        <w:tc>
          <w:tcPr>
            <w:tcW w:w="6281" w:type="dxa"/>
            <w:vAlign w:val="center"/>
          </w:tcPr>
          <w:p w14:paraId="0000008F" w14:textId="77777777" w:rsidR="00625C02" w:rsidRDefault="00A22398">
            <w:pPr>
              <w:spacing w:before="120" w:after="120" w:line="360" w:lineRule="auto"/>
            </w:pPr>
            <w:r>
              <w:t>World Health Organization</w:t>
            </w:r>
          </w:p>
        </w:tc>
      </w:tr>
    </w:tbl>
    <w:p w14:paraId="00000090" w14:textId="69DD4859" w:rsidR="00483551" w:rsidRDefault="00A22398">
      <w:pPr>
        <w:spacing w:before="120" w:after="120" w:line="360" w:lineRule="auto"/>
      </w:pPr>
      <w:r>
        <w:br w:type="page"/>
      </w:r>
    </w:p>
    <w:p w14:paraId="7DE1D0BA" w14:textId="77777777" w:rsidR="006D0959" w:rsidRPr="00C33BAB" w:rsidRDefault="006D0959" w:rsidP="00C33BAB">
      <w:pPr>
        <w:jc w:val="center"/>
        <w:rPr>
          <w:rFonts w:ascii="Arial" w:eastAsia="Arial" w:hAnsi="Arial" w:cs="Arial"/>
          <w:b/>
          <w:color w:val="0F4761"/>
        </w:rPr>
      </w:pPr>
      <w:r w:rsidRPr="00C33BAB">
        <w:rPr>
          <w:rFonts w:ascii="Arial" w:eastAsia="Arial" w:hAnsi="Arial" w:cs="Arial"/>
          <w:b/>
          <w:color w:val="0F4761"/>
        </w:rPr>
        <w:lastRenderedPageBreak/>
        <w:t xml:space="preserve">Executive summary </w:t>
      </w:r>
    </w:p>
    <w:p w14:paraId="266B0059" w14:textId="7587FCC8" w:rsidR="00483551" w:rsidRPr="002847A2" w:rsidRDefault="00F532EF" w:rsidP="00483551">
      <w:r>
        <w:t>A</w:t>
      </w:r>
      <w:r w:rsidR="00483551">
        <w:t xml:space="preserve">cross Central and East Europe (CEE), preventable vision loss caused by age-related macular degeneration (AMD) and diabetic </w:t>
      </w:r>
      <w:r w:rsidR="00881A79">
        <w:t>retinopathy</w:t>
      </w:r>
      <w:r w:rsidR="00483551">
        <w:t xml:space="preserve"> (D</w:t>
      </w:r>
      <w:r w:rsidR="00881A79">
        <w:t>R</w:t>
      </w:r>
      <w:r w:rsidR="00483551">
        <w:t xml:space="preserve">) continues to rise, with profound personal and </w:t>
      </w:r>
      <w:r w:rsidR="005029C7">
        <w:t>healthcare system</w:t>
      </w:r>
      <w:r w:rsidR="00483551">
        <w:t xml:space="preserve"> costs. Despite the growing prevalence and economic impact of these conditions, the European Union has not established a comprehensive framework to address eye health, leaving vision care overlooked in national ageing strategies and health agendas.</w:t>
      </w:r>
    </w:p>
    <w:p w14:paraId="71F9278D" w14:textId="7B628001" w:rsidR="00483551" w:rsidRDefault="00483551" w:rsidP="00483551">
      <w:r>
        <w:t>This White Paper, developed in collaboration with stakeholders across</w:t>
      </w:r>
      <w:r w:rsidR="00680105">
        <w:t xml:space="preserve"> </w:t>
      </w:r>
      <w:r w:rsidR="00680105" w:rsidRPr="007E79CD">
        <w:rPr>
          <w:b/>
          <w:bCs/>
        </w:rPr>
        <w:t>Bulgaria, Croatia, Estonia, Greece, Hungary, Latvia, Lithuania, North Macedonia</w:t>
      </w:r>
      <w:r w:rsidR="004303F4" w:rsidRPr="007E79CD">
        <w:rPr>
          <w:b/>
          <w:bCs/>
        </w:rPr>
        <w:t>, Poland, Romania, Serbia and Slovakia</w:t>
      </w:r>
      <w:r w:rsidR="004303F4">
        <w:t xml:space="preserve"> </w:t>
      </w:r>
      <w:r>
        <w:t xml:space="preserve">sets out to change this trajectory. </w:t>
      </w:r>
      <w:r w:rsidR="00F106EF">
        <w:t xml:space="preserve">The </w:t>
      </w:r>
      <w:r>
        <w:t>five core objectives</w:t>
      </w:r>
      <w:r w:rsidR="00F106EF">
        <w:t xml:space="preserve"> are to</w:t>
      </w:r>
      <w:r>
        <w:t>:</w:t>
      </w:r>
    </w:p>
    <w:p w14:paraId="3EF0BC60" w14:textId="6321CC11" w:rsidR="00D406F0" w:rsidRDefault="00D406F0" w:rsidP="008B2C0A">
      <w:pPr>
        <w:numPr>
          <w:ilvl w:val="0"/>
          <w:numId w:val="4"/>
        </w:numPr>
        <w:spacing w:before="120" w:after="120" w:line="360" w:lineRule="auto"/>
      </w:pPr>
      <w:r>
        <w:t xml:space="preserve">Promote </w:t>
      </w:r>
      <w:r>
        <w:rPr>
          <w:b/>
        </w:rPr>
        <w:t>early detection</w:t>
      </w:r>
      <w:r>
        <w:t xml:space="preserve"> of retinal diseases </w:t>
      </w:r>
      <w:r w:rsidR="0045314E">
        <w:t xml:space="preserve">associated with age </w:t>
      </w:r>
      <w:r>
        <w:t>through national screening and referral systems </w:t>
      </w:r>
    </w:p>
    <w:p w14:paraId="3477856B" w14:textId="77777777" w:rsidR="00D406F0" w:rsidRDefault="00D406F0" w:rsidP="008B2C0A">
      <w:pPr>
        <w:numPr>
          <w:ilvl w:val="0"/>
          <w:numId w:val="5"/>
        </w:numPr>
        <w:spacing w:before="120" w:after="120" w:line="360" w:lineRule="auto"/>
      </w:pPr>
      <w:r>
        <w:rPr>
          <w:b/>
        </w:rPr>
        <w:t>Standardise care</w:t>
      </w:r>
      <w:r>
        <w:t xml:space="preserve"> across countries by defining best practices and clinical pathways </w:t>
      </w:r>
    </w:p>
    <w:p w14:paraId="68462BD7" w14:textId="77777777" w:rsidR="00D406F0" w:rsidRDefault="00D406F0" w:rsidP="008B2C0A">
      <w:pPr>
        <w:numPr>
          <w:ilvl w:val="0"/>
          <w:numId w:val="6"/>
        </w:numPr>
        <w:spacing w:before="120" w:after="120" w:line="360" w:lineRule="auto"/>
      </w:pPr>
      <w:r>
        <w:t xml:space="preserve">Increase </w:t>
      </w:r>
      <w:r>
        <w:rPr>
          <w:b/>
        </w:rPr>
        <w:t>access to innovative diagnostics and treatment</w:t>
      </w:r>
      <w:r>
        <w:t> </w:t>
      </w:r>
    </w:p>
    <w:p w14:paraId="670CCC5E" w14:textId="77777777" w:rsidR="00D406F0" w:rsidRDefault="00D406F0" w:rsidP="008B2C0A">
      <w:pPr>
        <w:numPr>
          <w:ilvl w:val="0"/>
          <w:numId w:val="7"/>
        </w:numPr>
        <w:spacing w:before="120" w:after="120" w:line="360" w:lineRule="auto"/>
      </w:pPr>
      <w:r>
        <w:t xml:space="preserve">Raise </w:t>
      </w:r>
      <w:r>
        <w:rPr>
          <w:b/>
        </w:rPr>
        <w:t>awareness among patients and healthcare professionals</w:t>
      </w:r>
      <w:r>
        <w:t> </w:t>
      </w:r>
    </w:p>
    <w:p w14:paraId="71091640" w14:textId="77777777" w:rsidR="00D406F0" w:rsidRDefault="00D406F0" w:rsidP="008B2C0A">
      <w:pPr>
        <w:numPr>
          <w:ilvl w:val="0"/>
          <w:numId w:val="8"/>
        </w:numPr>
        <w:spacing w:before="120" w:after="120" w:line="360" w:lineRule="auto"/>
      </w:pPr>
      <w:r>
        <w:t xml:space="preserve">Support </w:t>
      </w:r>
      <w:r>
        <w:rPr>
          <w:b/>
        </w:rPr>
        <w:t>rehabilitation and long-term patient engagement</w:t>
      </w:r>
      <w:r>
        <w:t xml:space="preserve"> in care </w:t>
      </w:r>
    </w:p>
    <w:p w14:paraId="785770EB" w14:textId="1C21F652" w:rsidR="00312857" w:rsidRDefault="00483551" w:rsidP="00C33BAB">
      <w:r>
        <w:t xml:space="preserve">To achieve these goals, the White Paper calls for </w:t>
      </w:r>
      <w:r w:rsidR="00CE3A2B">
        <w:t>development of unified guidelines consistent with the WHO’s people-centred eye care framework and the UN’s Vision for Everyone resolution, drawing upon results seen in Western Europe</w:t>
      </w:r>
      <w:r w:rsidR="001909D5">
        <w:t xml:space="preserve"> and the USA, and </w:t>
      </w:r>
      <w:r>
        <w:t xml:space="preserve">urgent reforms </w:t>
      </w:r>
      <w:r w:rsidR="00F72E3B">
        <w:t xml:space="preserve">across governments to </w:t>
      </w:r>
      <w:r w:rsidR="00312857">
        <w:t xml:space="preserve">enhance retinal healthcare infrastructure, improve patient access and reduce preventable blindness through: </w:t>
      </w:r>
    </w:p>
    <w:p w14:paraId="4D93EAA5" w14:textId="7CF969BB" w:rsidR="00312857" w:rsidRDefault="00312857" w:rsidP="008B2C0A">
      <w:pPr>
        <w:numPr>
          <w:ilvl w:val="0"/>
          <w:numId w:val="17"/>
        </w:numPr>
        <w:pBdr>
          <w:top w:val="nil"/>
          <w:left w:val="nil"/>
          <w:bottom w:val="nil"/>
          <w:right w:val="nil"/>
          <w:between w:val="nil"/>
        </w:pBdr>
        <w:spacing w:before="120" w:after="120" w:line="360" w:lineRule="auto"/>
        <w:rPr>
          <w:color w:val="000000"/>
        </w:rPr>
      </w:pPr>
      <w:r w:rsidRPr="0097660A">
        <w:rPr>
          <w:b/>
          <w:bCs/>
          <w:color w:val="000000"/>
        </w:rPr>
        <w:t>Development of national retinal health strategies</w:t>
      </w:r>
      <w:r>
        <w:rPr>
          <w:color w:val="000000"/>
        </w:rPr>
        <w:t xml:space="preserve"> that mandate post-treatment follow-up and rehabilitation, and patient support for AMD and D</w:t>
      </w:r>
      <w:r w:rsidR="003B1E53">
        <w:rPr>
          <w:color w:val="000000"/>
        </w:rPr>
        <w:t>R</w:t>
      </w:r>
    </w:p>
    <w:p w14:paraId="3E9D9EC6" w14:textId="123CD651" w:rsidR="00312857" w:rsidRDefault="00312857" w:rsidP="008B2C0A">
      <w:pPr>
        <w:numPr>
          <w:ilvl w:val="0"/>
          <w:numId w:val="17"/>
        </w:numPr>
        <w:pBdr>
          <w:top w:val="nil"/>
          <w:left w:val="nil"/>
          <w:bottom w:val="nil"/>
          <w:right w:val="nil"/>
          <w:between w:val="nil"/>
        </w:pBdr>
        <w:spacing w:before="120" w:after="120" w:line="360" w:lineRule="auto"/>
        <w:rPr>
          <w:color w:val="000000"/>
        </w:rPr>
      </w:pPr>
      <w:r w:rsidRPr="0097660A">
        <w:rPr>
          <w:b/>
          <w:bCs/>
          <w:color w:val="000000"/>
        </w:rPr>
        <w:t>Increased funding</w:t>
      </w:r>
      <w:r>
        <w:rPr>
          <w:color w:val="000000"/>
        </w:rPr>
        <w:t xml:space="preserve"> for monitoring technologies</w:t>
      </w:r>
      <w:r w:rsidR="00515AAD">
        <w:rPr>
          <w:color w:val="000000"/>
        </w:rPr>
        <w:t xml:space="preserve">, </w:t>
      </w:r>
      <w:r>
        <w:rPr>
          <w:color w:val="000000"/>
        </w:rPr>
        <w:t xml:space="preserve">assistive device accessibility, and low vision rehabilitation services </w:t>
      </w:r>
    </w:p>
    <w:p w14:paraId="3FE0DBCF" w14:textId="77777777" w:rsidR="00312857" w:rsidRDefault="00312857" w:rsidP="008B2C0A">
      <w:pPr>
        <w:numPr>
          <w:ilvl w:val="0"/>
          <w:numId w:val="17"/>
        </w:numPr>
        <w:pBdr>
          <w:top w:val="nil"/>
          <w:left w:val="nil"/>
          <w:bottom w:val="nil"/>
          <w:right w:val="nil"/>
          <w:between w:val="nil"/>
        </w:pBdr>
        <w:spacing w:before="120" w:after="120" w:line="360" w:lineRule="auto"/>
        <w:rPr>
          <w:color w:val="000000"/>
        </w:rPr>
      </w:pPr>
      <w:r w:rsidRPr="0097660A">
        <w:rPr>
          <w:b/>
          <w:bCs/>
          <w:color w:val="000000"/>
        </w:rPr>
        <w:t>Strengthened referral networks</w:t>
      </w:r>
      <w:r>
        <w:rPr>
          <w:color w:val="000000"/>
        </w:rPr>
        <w:t xml:space="preserve"> to streamline patient transitions from diagnosis to ongoing care</w:t>
      </w:r>
    </w:p>
    <w:p w14:paraId="305D71C9" w14:textId="3257CFB7" w:rsidR="00312857" w:rsidRDefault="00312857" w:rsidP="008B2C0A">
      <w:pPr>
        <w:numPr>
          <w:ilvl w:val="0"/>
          <w:numId w:val="17"/>
        </w:numPr>
        <w:pBdr>
          <w:top w:val="nil"/>
          <w:left w:val="nil"/>
          <w:bottom w:val="nil"/>
          <w:right w:val="nil"/>
          <w:between w:val="nil"/>
        </w:pBdr>
        <w:spacing w:before="120" w:after="120" w:line="360" w:lineRule="auto"/>
        <w:rPr>
          <w:b/>
          <w:color w:val="000000"/>
        </w:rPr>
      </w:pPr>
      <w:r w:rsidRPr="0097660A">
        <w:rPr>
          <w:b/>
          <w:bCs/>
          <w:color w:val="000000"/>
        </w:rPr>
        <w:t>Public education program</w:t>
      </w:r>
      <w:r w:rsidR="00DF07C2" w:rsidRPr="0097660A">
        <w:rPr>
          <w:b/>
          <w:bCs/>
          <w:color w:val="000000"/>
        </w:rPr>
        <w:t>me</w:t>
      </w:r>
      <w:r w:rsidRPr="0097660A">
        <w:rPr>
          <w:b/>
          <w:bCs/>
          <w:color w:val="000000"/>
        </w:rPr>
        <w:t>s</w:t>
      </w:r>
      <w:r>
        <w:rPr>
          <w:color w:val="000000"/>
        </w:rPr>
        <w:t xml:space="preserve"> to encourage early screening and detection, self-care and stigma reduction</w:t>
      </w:r>
    </w:p>
    <w:p w14:paraId="1EA40343" w14:textId="45647FD9" w:rsidR="00312857" w:rsidRPr="00C33BAB" w:rsidRDefault="00312857" w:rsidP="008B2C0A">
      <w:pPr>
        <w:numPr>
          <w:ilvl w:val="0"/>
          <w:numId w:val="17"/>
        </w:numPr>
        <w:pBdr>
          <w:top w:val="nil"/>
          <w:left w:val="nil"/>
          <w:bottom w:val="nil"/>
          <w:right w:val="nil"/>
          <w:between w:val="nil"/>
        </w:pBdr>
        <w:spacing w:before="120" w:after="120" w:line="360" w:lineRule="auto"/>
        <w:rPr>
          <w:b/>
          <w:color w:val="000000"/>
        </w:rPr>
      </w:pPr>
      <w:r w:rsidRPr="0097660A">
        <w:rPr>
          <w:b/>
          <w:bCs/>
          <w:color w:val="000000"/>
        </w:rPr>
        <w:t>Facilitation of regional collaboration</w:t>
      </w:r>
      <w:r>
        <w:rPr>
          <w:color w:val="000000"/>
        </w:rPr>
        <w:t xml:space="preserve"> through knowledge-sharing initiatives, joint research efforts, and standardised treatment protocols</w:t>
      </w:r>
    </w:p>
    <w:p w14:paraId="0DE373C7" w14:textId="075A2C7D" w:rsidR="00625C02" w:rsidRDefault="00483551" w:rsidP="00716083">
      <w:r>
        <w:t xml:space="preserve">The demographic pressures of ageing populations and the rising incidence of diabetes make immediate action both urgent and achievable. By implementing the recommendations outlined in this White Paper, </w:t>
      </w:r>
      <w:r w:rsidR="00F0384C">
        <w:t>C</w:t>
      </w:r>
      <w:r w:rsidR="008F0D4B">
        <w:t>EE</w:t>
      </w:r>
      <w:r>
        <w:t xml:space="preserve"> </w:t>
      </w:r>
      <w:r w:rsidR="000B7AAF">
        <w:t xml:space="preserve">countries </w:t>
      </w:r>
      <w:r>
        <w:t xml:space="preserve">can significantly reduce preventable blindness, support healthy ageing, and close the </w:t>
      </w:r>
      <w:r w:rsidR="008F0D4B">
        <w:t xml:space="preserve">current </w:t>
      </w:r>
      <w:r>
        <w:t xml:space="preserve">equity gap </w:t>
      </w:r>
      <w:r w:rsidR="008F0D4B">
        <w:t>with</w:t>
      </w:r>
      <w:r>
        <w:t xml:space="preserve"> Western Europe. Governments must seize this opportunity to prioritise vision health, ensuring that no patient is left behind</w:t>
      </w:r>
      <w:r w:rsidR="008F0D4B">
        <w:t>.</w:t>
      </w:r>
    </w:p>
    <w:p w14:paraId="5422FE8D" w14:textId="57A49C04" w:rsidR="00625C02" w:rsidRPr="00C33BAB" w:rsidRDefault="00904E62" w:rsidP="0036526D">
      <w:r>
        <w:br w:type="page"/>
      </w:r>
    </w:p>
    <w:p w14:paraId="00000091" w14:textId="5C364AE3" w:rsidR="00625C02" w:rsidRPr="00402D81" w:rsidRDefault="00A22398">
      <w:pPr>
        <w:pStyle w:val="Heading2"/>
        <w:spacing w:before="120" w:after="120" w:line="360" w:lineRule="auto"/>
        <w:jc w:val="center"/>
        <w:rPr>
          <w:rFonts w:asciiTheme="minorBidi" w:hAnsiTheme="minorBidi" w:cstheme="minorBidi"/>
          <w:sz w:val="22"/>
          <w:szCs w:val="22"/>
        </w:rPr>
      </w:pPr>
      <w:bookmarkStart w:id="2" w:name="_Toc210130058"/>
      <w:r w:rsidRPr="00402D81">
        <w:rPr>
          <w:rFonts w:asciiTheme="minorBidi" w:eastAsia="Arial" w:hAnsiTheme="minorBidi" w:cstheme="minorBidi"/>
          <w:b/>
          <w:sz w:val="22"/>
          <w:szCs w:val="22"/>
        </w:rPr>
        <w:lastRenderedPageBreak/>
        <w:t xml:space="preserve">CHAPTER 1 </w:t>
      </w:r>
      <w:r w:rsidRPr="00402D81">
        <w:rPr>
          <w:rFonts w:asciiTheme="minorBidi" w:eastAsia="Arial" w:hAnsiTheme="minorBidi" w:cstheme="minorBidi"/>
          <w:b/>
          <w:sz w:val="22"/>
          <w:szCs w:val="22"/>
        </w:rPr>
        <w:br/>
      </w:r>
      <w:r w:rsidRPr="00402D81">
        <w:rPr>
          <w:rFonts w:asciiTheme="minorBidi" w:hAnsiTheme="minorBidi" w:cstheme="minorBidi"/>
          <w:sz w:val="22"/>
          <w:szCs w:val="22"/>
        </w:rPr>
        <w:t>DRIVING CHANGE FOR PATIENTS WITH AMD AND D</w:t>
      </w:r>
      <w:r w:rsidR="00325473">
        <w:rPr>
          <w:rFonts w:asciiTheme="minorBidi" w:hAnsiTheme="minorBidi" w:cstheme="minorBidi"/>
          <w:sz w:val="22"/>
          <w:szCs w:val="22"/>
        </w:rPr>
        <w:t>R</w:t>
      </w:r>
      <w:r w:rsidRPr="00402D81">
        <w:rPr>
          <w:rFonts w:asciiTheme="minorBidi" w:hAnsiTheme="minorBidi" w:cstheme="minorBidi"/>
          <w:sz w:val="22"/>
          <w:szCs w:val="22"/>
        </w:rPr>
        <w:t xml:space="preserve"> IN CENTRAL AND EAST EUROPE</w:t>
      </w:r>
      <w:bookmarkEnd w:id="2"/>
    </w:p>
    <w:p w14:paraId="00000092" w14:textId="77777777" w:rsidR="00625C02" w:rsidRPr="00C51991" w:rsidRDefault="00A22398">
      <w:pPr>
        <w:spacing w:before="120" w:after="120" w:line="360" w:lineRule="auto"/>
      </w:pPr>
      <w:r w:rsidRPr="00C51991">
        <w:rPr>
          <w:b/>
        </w:rPr>
        <w:t>1.1 Introduction</w:t>
      </w:r>
      <w:r w:rsidRPr="00C51991">
        <w:t> </w:t>
      </w:r>
    </w:p>
    <w:p w14:paraId="00000093" w14:textId="5DC4F6C0" w:rsidR="00625C02" w:rsidRPr="00C51991" w:rsidRDefault="00A22398">
      <w:pPr>
        <w:spacing w:before="120" w:after="120" w:line="360" w:lineRule="auto"/>
      </w:pPr>
      <w:r w:rsidRPr="00C51991">
        <w:t>At least 2.2 billion people worldwide have vision impairment or blindness, with more than 1.1 billion suffering from preventable or untreated impairments.</w:t>
      </w:r>
      <w:r w:rsidR="004A10D1" w:rsidRPr="00C51991">
        <w:rPr>
          <w:vertAlign w:val="superscript"/>
        </w:rPr>
        <w:t>1-4</w:t>
      </w:r>
      <w:r w:rsidRPr="00C51991">
        <w:t xml:space="preserve"> </w:t>
      </w:r>
      <w:r w:rsidR="00F34035">
        <w:t>A</w:t>
      </w:r>
      <w:r w:rsidRPr="00C51991">
        <w:t xml:space="preserve">ge-related macular degeneration (AMD) and diabetic </w:t>
      </w:r>
      <w:r w:rsidR="00F34035">
        <w:t>retinopathy</w:t>
      </w:r>
      <w:r w:rsidR="00791B64">
        <w:t xml:space="preserve"> (DR)</w:t>
      </w:r>
      <w:r w:rsidRPr="00C51991">
        <w:t xml:space="preserve"> are among the leading causes of preventable vision loss and blindness.</w:t>
      </w:r>
      <w:r w:rsidR="006715F0" w:rsidRPr="00C51991">
        <w:rPr>
          <w:vertAlign w:val="superscript"/>
        </w:rPr>
        <w:t>5-7</w:t>
      </w:r>
      <w:r w:rsidRPr="00C51991">
        <w:t xml:space="preserve"> In Central and East Europe (CEE), where health systems face varying levels of resource allocation, access to retinal care is inconsistent and often inadequate. As populations in the region age and chronic conditions like diabetes become more prevalent, retinal diseases</w:t>
      </w:r>
      <w:r w:rsidR="0021457C">
        <w:t xml:space="preserve"> associated with age</w:t>
      </w:r>
      <w:r w:rsidRPr="00C51991">
        <w:t xml:space="preserve"> are projected to increase significantly, posing a growing public health challenge.</w:t>
      </w:r>
      <w:r w:rsidR="006715F0" w:rsidRPr="00C51991">
        <w:rPr>
          <w:vertAlign w:val="superscript"/>
        </w:rPr>
        <w:t>8</w:t>
      </w:r>
    </w:p>
    <w:p w14:paraId="00000094" w14:textId="3D6F5560" w:rsidR="00625C02" w:rsidRPr="00C51991" w:rsidRDefault="00A22398">
      <w:pPr>
        <w:spacing w:before="120" w:after="120" w:line="360" w:lineRule="auto"/>
      </w:pPr>
      <w:r w:rsidRPr="00C51991">
        <w:t>This call-to-action aims to highlight the urgent need to prioritise vision health, in particular AMD and D</w:t>
      </w:r>
      <w:r w:rsidR="001D247F">
        <w:t>R</w:t>
      </w:r>
      <w:r w:rsidRPr="00C51991">
        <w:t>, and empower patients in the CEE region. It draws on data and insights from global eye health organisations and recent regional studies to advocate for coordinated policy action.</w:t>
      </w:r>
    </w:p>
    <w:p w14:paraId="00000095" w14:textId="732B292D" w:rsidR="00625C02" w:rsidRPr="00C51991" w:rsidRDefault="00A22398">
      <w:pPr>
        <w:spacing w:before="120" w:after="120" w:line="360" w:lineRule="auto"/>
      </w:pPr>
      <w:r w:rsidRPr="00C51991">
        <w:rPr>
          <w:b/>
        </w:rPr>
        <w:t>1.2 The Urgency of Addressing AMD and D</w:t>
      </w:r>
      <w:r w:rsidR="00791B64">
        <w:rPr>
          <w:b/>
        </w:rPr>
        <w:t>R</w:t>
      </w:r>
      <w:r w:rsidRPr="00C51991">
        <w:rPr>
          <w:b/>
        </w:rPr>
        <w:t xml:space="preserve"> in CEE</w:t>
      </w:r>
      <w:r w:rsidRPr="00C51991">
        <w:t> </w:t>
      </w:r>
    </w:p>
    <w:p w14:paraId="00000096" w14:textId="77777777" w:rsidR="00625C02" w:rsidRPr="00C51991" w:rsidRDefault="00A22398">
      <w:pPr>
        <w:spacing w:before="120" w:after="120" w:line="360" w:lineRule="auto"/>
        <w:rPr>
          <w:b/>
        </w:rPr>
      </w:pPr>
      <w:r w:rsidRPr="00C51991">
        <w:rPr>
          <w:b/>
        </w:rPr>
        <w:t>1.2.1 The burden of vision impairment in ageing populations</w:t>
      </w:r>
    </w:p>
    <w:p w14:paraId="0BDE8999" w14:textId="6D6FD431" w:rsidR="00477FAB" w:rsidRDefault="00A22398">
      <w:pPr>
        <w:spacing w:before="120" w:after="120" w:line="360" w:lineRule="auto"/>
      </w:pPr>
      <w:r w:rsidRPr="00C51991">
        <w:t>Vision impairment has effects beyond sight; it impacts quality of life, independence, and the ability to age healthily.</w:t>
      </w:r>
    </w:p>
    <w:p w14:paraId="1314225E" w14:textId="5F86F021" w:rsidR="00743709" w:rsidRDefault="000225CB">
      <w:pPr>
        <w:spacing w:before="120" w:after="120" w:line="360" w:lineRule="auto"/>
      </w:pPr>
      <w:r w:rsidRPr="00C51991">
        <w:rPr>
          <w:b/>
          <w:bCs/>
        </w:rPr>
        <w:t xml:space="preserve">Figure </w:t>
      </w:r>
      <w:r>
        <w:rPr>
          <w:b/>
          <w:bCs/>
        </w:rPr>
        <w:t>1</w:t>
      </w:r>
      <w:r w:rsidRPr="00C51991">
        <w:t xml:space="preserve">. The global </w:t>
      </w:r>
      <w:r>
        <w:t xml:space="preserve">and CEE </w:t>
      </w:r>
      <w:r w:rsidRPr="00C51991">
        <w:t>burden of vision loss</w:t>
      </w:r>
      <w:r w:rsidR="00D5637E">
        <w:rPr>
          <w:vertAlign w:val="superscript"/>
        </w:rPr>
        <w:t>5</w:t>
      </w:r>
      <w:r w:rsidR="00094FD0">
        <w:rPr>
          <w:vertAlign w:val="superscript"/>
        </w:rPr>
        <w:t>-7,9,10,14</w:t>
      </w:r>
    </w:p>
    <w:p w14:paraId="40C31A3F" w14:textId="37D7B027" w:rsidR="00183070" w:rsidRPr="00C51991" w:rsidRDefault="00477FAB" w:rsidP="00D44821">
      <w:pPr>
        <w:spacing w:before="120" w:after="120" w:line="360" w:lineRule="auto"/>
      </w:pPr>
      <w:r>
        <w:rPr>
          <w:noProof/>
        </w:rPr>
        <w:drawing>
          <wp:inline distT="0" distB="0" distL="0" distR="0" wp14:anchorId="4CFE41C5" wp14:editId="5A0A2D49">
            <wp:extent cx="5041907" cy="3112882"/>
            <wp:effectExtent l="0" t="0" r="0" b="0"/>
            <wp:docPr id="1119354328" name="Picture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54328" name="Picture 3">
                      <a:extLst>
                        <a:ext uri="{C183D7F6-B498-43B3-948B-1728B52AA6E4}">
                          <adec:decorative xmlns:adec="http://schemas.microsoft.com/office/drawing/2017/decorative" val="0"/>
                        </a:ext>
                      </a:extLst>
                    </pic:cNvPr>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5041907" cy="3112882"/>
                    </a:xfrm>
                    <a:prstGeom prst="rect">
                      <a:avLst/>
                    </a:prstGeom>
                  </pic:spPr>
                </pic:pic>
              </a:graphicData>
            </a:graphic>
          </wp:inline>
        </w:drawing>
      </w:r>
    </w:p>
    <w:p w14:paraId="0000009A" w14:textId="0FB76C48" w:rsidR="00625C02" w:rsidRPr="00C51991" w:rsidRDefault="00A22398">
      <w:pPr>
        <w:spacing w:before="120" w:after="120" w:line="360" w:lineRule="auto"/>
      </w:pPr>
      <w:r w:rsidRPr="00C51991">
        <w:t>Diabetes is one of the most prevalent global diseases.</w:t>
      </w:r>
      <w:r w:rsidR="00083997" w:rsidRPr="00C51991">
        <w:rPr>
          <w:vertAlign w:val="superscript"/>
        </w:rPr>
        <w:t>6,11</w:t>
      </w:r>
      <w:r w:rsidRPr="00C51991">
        <w:t xml:space="preserve"> In Europe it is estimated that between 20-35% of people with diabetes will have DR, and about one</w:t>
      </w:r>
      <w:r w:rsidR="00D2232A">
        <w:t>-</w:t>
      </w:r>
      <w:r w:rsidRPr="00C51991">
        <w:t>third of whom will develop vision-threatening DR, including DME.</w:t>
      </w:r>
      <w:r w:rsidR="00083997" w:rsidRPr="00C51991">
        <w:rPr>
          <w:vertAlign w:val="superscript"/>
        </w:rPr>
        <w:t>6,11</w:t>
      </w:r>
      <w:r w:rsidRPr="00C51991">
        <w:t xml:space="preserve"> High rates of diabetes are commonly reported in CEE countries</w:t>
      </w:r>
      <w:r w:rsidR="00A40C31" w:rsidRPr="00C51991">
        <w:t xml:space="preserve"> owing </w:t>
      </w:r>
      <w:r w:rsidR="000D28A5" w:rsidRPr="00C51991">
        <w:t xml:space="preserve">to </w:t>
      </w:r>
      <w:r w:rsidR="004B7242" w:rsidRPr="00C51991">
        <w:t>people</w:t>
      </w:r>
      <w:r w:rsidR="00F21D20" w:rsidRPr="00C51991">
        <w:t xml:space="preserve">, on </w:t>
      </w:r>
      <w:r w:rsidR="00F21D20" w:rsidRPr="00C51991">
        <w:lastRenderedPageBreak/>
        <w:t xml:space="preserve">average, </w:t>
      </w:r>
      <w:r w:rsidR="00F63DF6" w:rsidRPr="00C51991">
        <w:t xml:space="preserve">having </w:t>
      </w:r>
      <w:r w:rsidR="00A85135" w:rsidRPr="00C51991">
        <w:t>lower level</w:t>
      </w:r>
      <w:r w:rsidR="007663B9" w:rsidRPr="00C51991">
        <w:t xml:space="preserve">s </w:t>
      </w:r>
      <w:r w:rsidR="00A85135" w:rsidRPr="00C51991">
        <w:t>of</w:t>
      </w:r>
      <w:r w:rsidR="00207357" w:rsidRPr="00C51991">
        <w:t xml:space="preserve"> education, higher unemployment rates, </w:t>
      </w:r>
      <w:r w:rsidR="000D28A5" w:rsidRPr="00C51991">
        <w:t>higher BMI</w:t>
      </w:r>
      <w:r w:rsidR="00333733" w:rsidRPr="00C51991">
        <w:t xml:space="preserve">s, </w:t>
      </w:r>
      <w:r w:rsidR="00207357" w:rsidRPr="00C51991">
        <w:t xml:space="preserve">and </w:t>
      </w:r>
      <w:r w:rsidR="00333733" w:rsidRPr="00C51991">
        <w:t>higher</w:t>
      </w:r>
      <w:r w:rsidR="00C23E85" w:rsidRPr="00C51991">
        <w:t xml:space="preserve"> rates of</w:t>
      </w:r>
      <w:r w:rsidR="00A04B69" w:rsidRPr="00C51991">
        <w:t xml:space="preserve"> smoking, </w:t>
      </w:r>
      <w:r w:rsidR="00EF5C25" w:rsidRPr="00C51991">
        <w:t>hypertension</w:t>
      </w:r>
      <w:r w:rsidR="005C3D7C" w:rsidRPr="00C51991">
        <w:t xml:space="preserve"> and stroke</w:t>
      </w:r>
      <w:r w:rsidR="00207357" w:rsidRPr="00C51991">
        <w:t xml:space="preserve"> </w:t>
      </w:r>
      <w:r w:rsidR="000779FB" w:rsidRPr="00C51991">
        <w:t xml:space="preserve">compared with </w:t>
      </w:r>
      <w:r w:rsidR="00F21D20" w:rsidRPr="00C51991">
        <w:t>Western Europeans</w:t>
      </w:r>
      <w:r w:rsidRPr="00C51991">
        <w:t xml:space="preserve">, which exposes </w:t>
      </w:r>
      <w:r w:rsidR="00207357" w:rsidRPr="00C51991">
        <w:t xml:space="preserve">CEE </w:t>
      </w:r>
      <w:r w:rsidRPr="00C51991">
        <w:t>populations to increased risk of vision-threatening DR and DME.</w:t>
      </w:r>
      <w:r w:rsidR="005E6743" w:rsidRPr="00C51991">
        <w:rPr>
          <w:vertAlign w:val="superscript"/>
        </w:rPr>
        <w:t>6,12</w:t>
      </w:r>
      <w:r w:rsidRPr="00C51991">
        <w:rPr>
          <w:vertAlign w:val="superscript"/>
        </w:rPr>
        <w:t xml:space="preserve"> </w:t>
      </w:r>
      <w:r w:rsidRPr="00C51991">
        <w:t> </w:t>
      </w:r>
    </w:p>
    <w:p w14:paraId="0000009C" w14:textId="104AC27E" w:rsidR="00625C02" w:rsidRPr="00C51991" w:rsidRDefault="00A22398" w:rsidP="00A33285">
      <w:pPr>
        <w:spacing w:before="120" w:after="120" w:line="360" w:lineRule="auto"/>
      </w:pPr>
      <w:r w:rsidRPr="00C51991">
        <w:t>If current trends continue, the number of people affected by AMD and D</w:t>
      </w:r>
      <w:r w:rsidR="003346B8">
        <w:t>R</w:t>
      </w:r>
      <w:r w:rsidRPr="00C51991">
        <w:t xml:space="preserve"> is projected to increase substantially.</w:t>
      </w:r>
      <w:r w:rsidR="0000481B" w:rsidRPr="00C51991">
        <w:rPr>
          <w:vertAlign w:val="superscript"/>
        </w:rPr>
        <w:t>6,7</w:t>
      </w:r>
      <w:r w:rsidRPr="00C51991">
        <w:t xml:space="preserve"> Yet many cases remain undiagnosed or untreated.²</w:t>
      </w:r>
    </w:p>
    <w:p w14:paraId="0000009D" w14:textId="6164CE25" w:rsidR="00625C02" w:rsidRPr="00C51991" w:rsidRDefault="00A22398">
      <w:pPr>
        <w:spacing w:before="120" w:after="120" w:line="360" w:lineRule="auto"/>
        <w:rPr>
          <w:color w:val="005A8B"/>
        </w:rPr>
      </w:pPr>
      <w:r w:rsidRPr="00C51991">
        <w:rPr>
          <w:highlight w:val="white"/>
        </w:rPr>
        <w:t xml:space="preserve">In six CEE countries, only 25% of patients </w:t>
      </w:r>
      <w:r w:rsidR="00770826" w:rsidRPr="00C51991">
        <w:rPr>
          <w:highlight w:val="white"/>
        </w:rPr>
        <w:t xml:space="preserve">with </w:t>
      </w:r>
      <w:r w:rsidR="00712AE6" w:rsidRPr="00C51991">
        <w:rPr>
          <w:highlight w:val="white"/>
        </w:rPr>
        <w:t xml:space="preserve">AMD, DME or RVO </w:t>
      </w:r>
      <w:r w:rsidRPr="00C51991">
        <w:rPr>
          <w:highlight w:val="white"/>
        </w:rPr>
        <w:t xml:space="preserve">are diagnosed and fewer than </w:t>
      </w:r>
      <w:r w:rsidR="00377175" w:rsidRPr="00C51991">
        <w:rPr>
          <w:highlight w:val="white"/>
        </w:rPr>
        <w:t>15%</w:t>
      </w:r>
      <w:r w:rsidRPr="00C51991">
        <w:rPr>
          <w:highlight w:val="white"/>
        </w:rPr>
        <w:t xml:space="preserve"> are treated, reflecting a significant care gap</w:t>
      </w:r>
      <w:r w:rsidR="00170B97" w:rsidRPr="00C51991">
        <w:rPr>
          <w:highlight w:val="white"/>
        </w:rPr>
        <w:t xml:space="preserve"> comp</w:t>
      </w:r>
      <w:r w:rsidR="00187828" w:rsidRPr="00C51991">
        <w:rPr>
          <w:highlight w:val="white"/>
        </w:rPr>
        <w:t>ared with most other EU countries</w:t>
      </w:r>
      <w:r w:rsidRPr="00C51991">
        <w:rPr>
          <w:highlight w:val="white"/>
        </w:rPr>
        <w:t>.</w:t>
      </w:r>
      <w:r w:rsidR="0000481B" w:rsidRPr="00C51991">
        <w:rPr>
          <w:vertAlign w:val="superscript"/>
        </w:rPr>
        <w:t>9</w:t>
      </w:r>
      <w:r w:rsidRPr="00C51991">
        <w:rPr>
          <w:highlight w:val="white"/>
        </w:rPr>
        <w:t xml:space="preserve"> Of the estimated 376,000 patients with DME, </w:t>
      </w:r>
      <w:r w:rsidR="00712AE6" w:rsidRPr="00C51991">
        <w:rPr>
          <w:highlight w:val="white"/>
        </w:rPr>
        <w:t>25%</w:t>
      </w:r>
      <w:r w:rsidR="00342B3D" w:rsidRPr="00C51991">
        <w:rPr>
          <w:highlight w:val="white"/>
        </w:rPr>
        <w:t xml:space="preserve"> </w:t>
      </w:r>
      <w:r w:rsidRPr="00C51991">
        <w:rPr>
          <w:highlight w:val="white"/>
        </w:rPr>
        <w:t xml:space="preserve">have been diagnosed and only </w:t>
      </w:r>
      <w:r w:rsidR="00A81DFF" w:rsidRPr="00C51991">
        <w:rPr>
          <w:highlight w:val="white"/>
        </w:rPr>
        <w:t>8%</w:t>
      </w:r>
      <w:r w:rsidRPr="00C51991">
        <w:rPr>
          <w:highlight w:val="white"/>
        </w:rPr>
        <w:t xml:space="preserve"> have been treated.</w:t>
      </w:r>
      <w:r w:rsidR="00944C63" w:rsidRPr="00C51991">
        <w:rPr>
          <w:vertAlign w:val="superscript"/>
        </w:rPr>
        <w:t>9</w:t>
      </w:r>
      <w:r w:rsidRPr="00C51991">
        <w:rPr>
          <w:highlight w:val="white"/>
        </w:rPr>
        <w:t xml:space="preserve"> This varies widely across CEE: in North Macedonia, only 15% of patients with AMD are diagnosed, and just 25% of those receive treatment, compared with 82% receiving treatment in Poland.</w:t>
      </w:r>
      <w:r w:rsidR="00944C63" w:rsidRPr="00C51991">
        <w:rPr>
          <w:vertAlign w:val="superscript"/>
        </w:rPr>
        <w:t>9</w:t>
      </w:r>
      <w:r w:rsidRPr="00C51991">
        <w:rPr>
          <w:vertAlign w:val="superscript"/>
        </w:rPr>
        <w:t xml:space="preserve"> </w:t>
      </w:r>
      <w:r w:rsidRPr="00C51991">
        <w:t xml:space="preserve">CEE countries report </w:t>
      </w:r>
      <w:r w:rsidRPr="00C51991">
        <w:rPr>
          <w:color w:val="005A8B"/>
        </w:rPr>
        <w:t>l</w:t>
      </w:r>
      <w:r w:rsidRPr="00C51991">
        <w:t>ow rates of coverage of diagnosis and treatment, especially outside urban areas, and</w:t>
      </w:r>
      <w:r w:rsidRPr="00C51991">
        <w:rPr>
          <w:color w:val="005A8B"/>
        </w:rPr>
        <w:t xml:space="preserve"> </w:t>
      </w:r>
      <w:r w:rsidRPr="00E328F1">
        <w:rPr>
          <w:color w:val="000000" w:themeColor="text1"/>
        </w:rPr>
        <w:t>f</w:t>
      </w:r>
      <w:r w:rsidRPr="00C51991">
        <w:t>ew coordinated care pathways, with general practitioners (GPs) not sufficiently engaged in vision screening and referral.</w:t>
      </w:r>
      <w:r w:rsidR="00944C63" w:rsidRPr="00C51991">
        <w:rPr>
          <w:vertAlign w:val="superscript"/>
        </w:rPr>
        <w:t>9,13</w:t>
      </w:r>
      <w:r w:rsidRPr="00C51991">
        <w:t> </w:t>
      </w:r>
    </w:p>
    <w:p w14:paraId="0000009E" w14:textId="77777777" w:rsidR="00625C02" w:rsidRPr="00C51991" w:rsidRDefault="00A22398">
      <w:pPr>
        <w:spacing w:before="120" w:after="120" w:line="360" w:lineRule="auto"/>
      </w:pPr>
      <w:r w:rsidRPr="00C51991">
        <w:t>These structural barriers result in thousands of preventable cases of vision loss annually, outcomes that are both avoidable and economically unsustainable. </w:t>
      </w:r>
    </w:p>
    <w:p w14:paraId="000000A0" w14:textId="77777777" w:rsidR="00625C02" w:rsidRPr="00C51991" w:rsidRDefault="00A22398">
      <w:pPr>
        <w:spacing w:before="120" w:after="120" w:line="360" w:lineRule="auto"/>
      </w:pPr>
      <w:r w:rsidRPr="00C51991">
        <w:rPr>
          <w:b/>
        </w:rPr>
        <w:t>1.2.2 Economic and societal impact</w:t>
      </w:r>
      <w:r w:rsidRPr="00C51991">
        <w:t> </w:t>
      </w:r>
    </w:p>
    <w:p w14:paraId="000000A1" w14:textId="1F141D57" w:rsidR="00625C02" w:rsidRPr="00C51991" w:rsidRDefault="00A22398">
      <w:pPr>
        <w:spacing w:before="120" w:after="120" w:line="360" w:lineRule="auto"/>
      </w:pPr>
      <w:r w:rsidRPr="00C51991">
        <w:t>Vision impairment from all causes (including blindness) causes severe economic losses and impedes the realisation of certain sustainable development goals</w:t>
      </w:r>
      <w:r w:rsidR="006E2151" w:rsidRPr="00C51991">
        <w:t xml:space="preserve"> (Fig</w:t>
      </w:r>
      <w:r w:rsidR="00A55D00" w:rsidRPr="00C51991">
        <w:t>.</w:t>
      </w:r>
      <w:r w:rsidR="006E2151" w:rsidRPr="00C51991">
        <w:t xml:space="preserve"> </w:t>
      </w:r>
      <w:r w:rsidR="006265A7">
        <w:t>2</w:t>
      </w:r>
      <w:r w:rsidR="006E2151" w:rsidRPr="00C51991">
        <w:t>)</w:t>
      </w:r>
      <w:r w:rsidRPr="00C51991">
        <w:t xml:space="preserve">. A systematic review from 2022 published in </w:t>
      </w:r>
      <w:r w:rsidRPr="00C51991">
        <w:rPr>
          <w:rFonts w:eastAsia="Arial"/>
          <w:i/>
        </w:rPr>
        <w:t>The Lance</w:t>
      </w:r>
      <w:r w:rsidR="00747036">
        <w:rPr>
          <w:rFonts w:eastAsia="Arial"/>
          <w:i/>
        </w:rPr>
        <w:t>t</w:t>
      </w:r>
      <w:r w:rsidRPr="00C51991">
        <w:t xml:space="preserve"> found that vision impairment results in significant healthcare, social care, and productivity costs across all income levels.</w:t>
      </w:r>
      <w:r w:rsidR="002A4EF2" w:rsidRPr="00C51991">
        <w:rPr>
          <w:vertAlign w:val="superscript"/>
        </w:rPr>
        <w:t>14</w:t>
      </w:r>
      <w:r w:rsidRPr="00C51991">
        <w:t xml:space="preserve"> </w:t>
      </w:r>
    </w:p>
    <w:p w14:paraId="5A99D01B" w14:textId="61B6439B" w:rsidR="003A7E50" w:rsidRPr="00C51991" w:rsidRDefault="00D4043D">
      <w:pPr>
        <w:spacing w:before="120" w:after="120" w:line="360" w:lineRule="auto"/>
        <w:rPr>
          <w:vertAlign w:val="superscript"/>
        </w:rPr>
      </w:pPr>
      <w:r w:rsidRPr="00C51991">
        <w:rPr>
          <w:b/>
          <w:bCs/>
        </w:rPr>
        <w:t xml:space="preserve">Figure </w:t>
      </w:r>
      <w:r w:rsidR="006265A7">
        <w:rPr>
          <w:b/>
          <w:bCs/>
        </w:rPr>
        <w:t>2</w:t>
      </w:r>
      <w:r w:rsidRPr="00C51991">
        <w:t>. The global economic burden of vision loss</w:t>
      </w:r>
      <w:r w:rsidR="00171657" w:rsidRPr="00C51991">
        <w:rPr>
          <w:vertAlign w:val="superscript"/>
        </w:rPr>
        <w:t>14,15</w:t>
      </w:r>
      <w:r w:rsidR="008E571C">
        <w:rPr>
          <w:vertAlign w:val="superscript"/>
        </w:rPr>
        <w:t>,16</w:t>
      </w:r>
    </w:p>
    <w:p w14:paraId="0DEBD094" w14:textId="623178AC" w:rsidR="003A7E50" w:rsidRPr="00C51991" w:rsidRDefault="003A7E50" w:rsidP="0036526D">
      <w:pPr>
        <w:spacing w:before="120" w:after="120" w:line="360" w:lineRule="auto"/>
        <w:jc w:val="center"/>
      </w:pPr>
    </w:p>
    <w:p w14:paraId="2FAD19EF" w14:textId="10C8F3A0" w:rsidR="559E9845" w:rsidRPr="00C51991" w:rsidRDefault="559E9845" w:rsidP="088A7BC4">
      <w:pPr>
        <w:spacing w:before="120" w:after="120" w:line="360" w:lineRule="auto"/>
        <w:jc w:val="center"/>
      </w:pPr>
      <w:r w:rsidRPr="00C51991">
        <w:rPr>
          <w:noProof/>
        </w:rPr>
        <w:drawing>
          <wp:inline distT="0" distB="0" distL="0" distR="0" wp14:anchorId="6873A2E9" wp14:editId="243D5FAD">
            <wp:extent cx="5294391" cy="2405543"/>
            <wp:effectExtent l="0" t="0" r="0" b="0"/>
            <wp:docPr id="696931846" name="drawing" descr="Globally, vision loss is estimated to cost 361.4 billion annually in lost productivity value; the predicted socioeconomic burden of DME and AMD is $633 billion from 2024 to 2032.6 According to a recent study of the German independent economic research institute WifOR (2024),  between 2017 and 2023, the cost of AMD and DME in eight CEE countries was 7.1 billion; forecast estimates predict that the cost will rise to 18.6 billion by 2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31846" name="drawing" descr="Globally, vision loss is estimated to cost 361.4 billion annually in lost productivity value; the predicted socioeconomic burden of DME and AMD is $633 billion from 2024 to 2032.6 According to a recent study of the German independent economic research institute WifOR (2024),  between 2017 and 2023, the cost of AMD and DME in eight CEE countries was 7.1 billion; forecast estimates predict that the cost will rise to 18.6 billion by 2032.6"/>
                    <pic:cNvPicPr/>
                  </pic:nvPicPr>
                  <pic:blipFill>
                    <a:blip r:embed="rId14">
                      <a:extLst>
                        <a:ext uri="{96DAC541-7B7A-43D3-8B79-37D633B846F1}">
                          <asvg:svgBlip xmlns:asvg="http://schemas.microsoft.com/office/drawing/2016/SVG/main" r:embed="rId15"/>
                        </a:ext>
                      </a:extLst>
                    </a:blip>
                    <a:stretch>
                      <a:fillRect/>
                    </a:stretch>
                  </pic:blipFill>
                  <pic:spPr>
                    <a:xfrm>
                      <a:off x="0" y="0"/>
                      <a:ext cx="5294391" cy="2405543"/>
                    </a:xfrm>
                    <a:prstGeom prst="rect">
                      <a:avLst/>
                    </a:prstGeom>
                  </pic:spPr>
                </pic:pic>
              </a:graphicData>
            </a:graphic>
          </wp:inline>
        </w:drawing>
      </w:r>
    </w:p>
    <w:p w14:paraId="000000A3" w14:textId="4C8E51AA" w:rsidR="00625C02" w:rsidRPr="00C51991" w:rsidRDefault="00A22398">
      <w:pPr>
        <w:spacing w:before="120" w:after="120" w:line="360" w:lineRule="auto"/>
        <w:rPr>
          <w:vertAlign w:val="superscript"/>
        </w:rPr>
      </w:pPr>
      <w:r w:rsidRPr="00C51991">
        <w:t xml:space="preserve">These costs are further exacerbated by delayed diagnosis, and the consequences are permanent; unless diagnosed and treated early, these conditions require more intensive care and result in irreversible vision </w:t>
      </w:r>
      <w:r w:rsidRPr="00C51991">
        <w:lastRenderedPageBreak/>
        <w:t>loss.</w:t>
      </w:r>
      <w:r w:rsidR="00B47C59" w:rsidRPr="00C51991">
        <w:rPr>
          <w:vertAlign w:val="superscript"/>
        </w:rPr>
        <w:t>16</w:t>
      </w:r>
      <w:r w:rsidRPr="00C51991">
        <w:t xml:space="preserve"> In Bulgaria, Romania and Hungary, untreated DME and AMD lead to thousands of preventable cases of blindness annually.</w:t>
      </w:r>
      <w:r w:rsidRPr="00C51991">
        <w:rPr>
          <w:vertAlign w:val="superscript"/>
        </w:rPr>
        <w:t>1</w:t>
      </w:r>
      <w:r w:rsidR="00B47C59" w:rsidRPr="00C51991">
        <w:rPr>
          <w:vertAlign w:val="superscript"/>
        </w:rPr>
        <w:t>7</w:t>
      </w:r>
      <w:r w:rsidRPr="00C51991">
        <w:t> </w:t>
      </w:r>
      <w:r w:rsidRPr="00C51991">
        <w:rPr>
          <w:vertAlign w:val="superscript"/>
        </w:rPr>
        <w:t xml:space="preserve"> </w:t>
      </w:r>
    </w:p>
    <w:p w14:paraId="000000A4" w14:textId="77777777" w:rsidR="00625C02" w:rsidRPr="00C51991" w:rsidRDefault="00A22398">
      <w:pPr>
        <w:spacing w:before="120" w:after="120" w:line="360" w:lineRule="auto"/>
        <w:rPr>
          <w:i/>
        </w:rPr>
      </w:pPr>
      <w:r w:rsidRPr="00C51991">
        <w:t>The burden of vision impairment extends beyond direct healthcare expenditure; it imposes a pervasive and growing burden on healthcare systems, individuals and their families, and national economies throughout CEE</w:t>
      </w:r>
      <w:r w:rsidRPr="00C51991">
        <w:rPr>
          <w:i/>
        </w:rPr>
        <w:t xml:space="preserve">. </w:t>
      </w:r>
    </w:p>
    <w:p w14:paraId="000000A5" w14:textId="77777777" w:rsidR="00625C02" w:rsidRPr="00C51991" w:rsidRDefault="00A22398">
      <w:pPr>
        <w:spacing w:before="120" w:after="120" w:line="360" w:lineRule="auto"/>
      </w:pPr>
      <w:r w:rsidRPr="00C51991">
        <w:rPr>
          <w:b/>
        </w:rPr>
        <w:t>1.2.3 Impact on health systems</w:t>
      </w:r>
      <w:r w:rsidRPr="00C51991">
        <w:t> </w:t>
      </w:r>
    </w:p>
    <w:p w14:paraId="000000A6" w14:textId="10BBD2A4" w:rsidR="00625C02" w:rsidRPr="00C51991" w:rsidRDefault="00A22398">
      <w:pPr>
        <w:spacing w:before="120" w:after="120" w:line="360" w:lineRule="auto"/>
      </w:pPr>
      <w:r w:rsidRPr="00C51991">
        <w:t xml:space="preserve">Late diagnosis and restricted access to care increase per-patient expenses and system pressure.  </w:t>
      </w:r>
      <w:r w:rsidR="00B36F43" w:rsidRPr="00C51991">
        <w:t xml:space="preserve">Late treatment initiation </w:t>
      </w:r>
      <w:r w:rsidR="0089372A" w:rsidRPr="00C51991">
        <w:t>worsens</w:t>
      </w:r>
      <w:r w:rsidR="00291A57" w:rsidRPr="00C51991">
        <w:t xml:space="preserve"> baseline characteristics and advance</w:t>
      </w:r>
      <w:r w:rsidR="0089372A" w:rsidRPr="00C51991">
        <w:t>s</w:t>
      </w:r>
      <w:r w:rsidR="00291A57" w:rsidRPr="00C51991">
        <w:t xml:space="preserve"> disease</w:t>
      </w:r>
      <w:r w:rsidR="0089372A" w:rsidRPr="00C51991">
        <w:t xml:space="preserve">, leading to </w:t>
      </w:r>
      <w:r w:rsidR="001F1E8C" w:rsidRPr="00C51991">
        <w:t>worse overall outcomes for the patient</w:t>
      </w:r>
      <w:r w:rsidR="00876842" w:rsidRPr="00C51991">
        <w:t xml:space="preserve">, such as loss of vision </w:t>
      </w:r>
      <w:r w:rsidR="00E4788C" w:rsidRPr="00C51991">
        <w:t>or irreversible vision damage</w:t>
      </w:r>
      <w:r w:rsidR="002F5969" w:rsidRPr="00C51991">
        <w:t>.</w:t>
      </w:r>
      <w:r w:rsidR="00E26D0E" w:rsidRPr="00C51991">
        <w:rPr>
          <w:vertAlign w:val="superscript"/>
        </w:rPr>
        <w:t>6,10</w:t>
      </w:r>
      <w:r w:rsidR="002F5969" w:rsidRPr="00C51991">
        <w:t xml:space="preserve"> </w:t>
      </w:r>
      <w:r w:rsidRPr="00C51991">
        <w:t xml:space="preserve">This </w:t>
      </w:r>
      <w:r w:rsidR="00E4788C" w:rsidRPr="00C51991">
        <w:t xml:space="preserve">increases the </w:t>
      </w:r>
      <w:r w:rsidR="00CB599F" w:rsidRPr="00C51991">
        <w:t xml:space="preserve">burden on healthcare systems and </w:t>
      </w:r>
      <w:r w:rsidRPr="00C51991">
        <w:t>creates more complicated, long-term care requirements such as high-risk laser surgery, extensive anti-VEGF therapy, rehabilitation, and blindness support.</w:t>
      </w:r>
      <w:r w:rsidR="00F55EB9" w:rsidRPr="00C51991">
        <w:rPr>
          <w:vertAlign w:val="superscript"/>
        </w:rPr>
        <w:t>6,10,11,15</w:t>
      </w:r>
      <w:r w:rsidRPr="00C51991">
        <w:t xml:space="preserve"> Lack of coordination between </w:t>
      </w:r>
      <w:r w:rsidR="00BC1A95" w:rsidRPr="00C51991">
        <w:t>GPs</w:t>
      </w:r>
      <w:r w:rsidRPr="00C51991">
        <w:t xml:space="preserve"> and ophthalmologists contributes to treatment delays, whil</w:t>
      </w:r>
      <w:r w:rsidR="00B17064">
        <w:t>e</w:t>
      </w:r>
      <w:r w:rsidRPr="00C51991">
        <w:t xml:space="preserve"> public waiting lists remain high in countries such as Bulgaria, Romania, and Hungary.</w:t>
      </w:r>
      <w:r w:rsidR="00F55EB9" w:rsidRPr="00C51991">
        <w:rPr>
          <w:vertAlign w:val="superscript"/>
        </w:rPr>
        <w:t>9</w:t>
      </w:r>
      <w:r w:rsidRPr="00C51991">
        <w:t> </w:t>
      </w:r>
    </w:p>
    <w:p w14:paraId="000000A7" w14:textId="77777777" w:rsidR="00625C02" w:rsidRPr="00C51991" w:rsidRDefault="00A22398">
      <w:pPr>
        <w:spacing w:before="120" w:after="120" w:line="360" w:lineRule="auto"/>
      </w:pPr>
      <w:r w:rsidRPr="00C51991">
        <w:rPr>
          <w:b/>
        </w:rPr>
        <w:t>1.2.4 Social and family burden</w:t>
      </w:r>
      <w:r w:rsidRPr="00C51991">
        <w:t> </w:t>
      </w:r>
    </w:p>
    <w:p w14:paraId="000000A8" w14:textId="10996926" w:rsidR="00625C02" w:rsidRPr="00C51991" w:rsidRDefault="00A22398">
      <w:pPr>
        <w:spacing w:before="120" w:after="120" w:line="360" w:lineRule="auto"/>
      </w:pPr>
      <w:r w:rsidRPr="00C51991">
        <w:t>As vision is lost, patients increasingly depend on family members for activities of daily living, mobility, and emotional support. This has great social costs. Unpaid caregivers, typically spouses or adult children, must change their work, routines, and financial arrangements to deliver care. In countries with limited formal support services, this scenario constitutes a hidden cost to families, leading to emotional stress and forfeited income.</w:t>
      </w:r>
      <w:r w:rsidRPr="00C51991">
        <w:rPr>
          <w:vertAlign w:val="superscript"/>
        </w:rPr>
        <w:t>2,</w:t>
      </w:r>
      <w:r w:rsidR="00830D6F" w:rsidRPr="00C51991">
        <w:rPr>
          <w:vertAlign w:val="superscript"/>
        </w:rPr>
        <w:t>3</w:t>
      </w:r>
      <w:r w:rsidRPr="00C51991">
        <w:rPr>
          <w:vertAlign w:val="superscript"/>
        </w:rPr>
        <w:t>,1</w:t>
      </w:r>
      <w:r w:rsidR="00830D6F" w:rsidRPr="00C51991">
        <w:rPr>
          <w:vertAlign w:val="superscript"/>
        </w:rPr>
        <w:t>4</w:t>
      </w:r>
      <w:r w:rsidRPr="00C51991">
        <w:t xml:space="preserve"> Caregiver burden further contributes to gender inequality, with women more likely to take on unpaid caregiver roles.</w:t>
      </w:r>
      <w:r w:rsidR="00830D6F" w:rsidRPr="00C51991">
        <w:rPr>
          <w:vertAlign w:val="superscript"/>
        </w:rPr>
        <w:t>10,15</w:t>
      </w:r>
      <w:r w:rsidRPr="00C51991">
        <w:t xml:space="preserve"> The ultimate consequence is increased absenteeism, reduced career progression, and higher risk of caregiver burnout, especially in ageing families with multiple health needs.</w:t>
      </w:r>
      <w:r w:rsidR="008334E9" w:rsidRPr="00C51991">
        <w:rPr>
          <w:vertAlign w:val="superscript"/>
        </w:rPr>
        <w:t>10</w:t>
      </w:r>
      <w:r w:rsidRPr="00C51991">
        <w:t> </w:t>
      </w:r>
    </w:p>
    <w:p w14:paraId="000000A9" w14:textId="77777777" w:rsidR="00625C02" w:rsidRPr="00C51991" w:rsidRDefault="00A22398">
      <w:pPr>
        <w:spacing w:before="120" w:after="120" w:line="360" w:lineRule="auto"/>
      </w:pPr>
      <w:r w:rsidRPr="00C51991">
        <w:rPr>
          <w:b/>
        </w:rPr>
        <w:t>1.2.5 Lost productivity and economic impact</w:t>
      </w:r>
      <w:r w:rsidRPr="00C51991">
        <w:t> </w:t>
      </w:r>
    </w:p>
    <w:p w14:paraId="000000AB" w14:textId="42EC2C48" w:rsidR="00625C02" w:rsidRPr="00C51991" w:rsidRDefault="00A22398">
      <w:pPr>
        <w:spacing w:before="120" w:after="120" w:line="360" w:lineRule="auto"/>
      </w:pPr>
      <w:r w:rsidRPr="00C51991">
        <w:t>Vision impairment and loss ha</w:t>
      </w:r>
      <w:r w:rsidR="004C17CA">
        <w:t>ve</w:t>
      </w:r>
      <w:r w:rsidRPr="00C51991">
        <w:t xml:space="preserve"> direct implications on productivity, especially when occurring in the working-age population with diabetes or early AMD. Although age is one of the major risk factors for AMD, these conditions are increasingly affecting younger people. </w:t>
      </w:r>
      <w:r w:rsidR="005E424B" w:rsidRPr="00C51991">
        <w:t xml:space="preserve">In addition, DR and DME are among the leading causes of </w:t>
      </w:r>
      <w:r w:rsidR="00B315CF" w:rsidRPr="00C51991">
        <w:t>preventable</w:t>
      </w:r>
      <w:r w:rsidR="005E424B" w:rsidRPr="00C51991">
        <w:t xml:space="preserve"> blindness</w:t>
      </w:r>
      <w:r w:rsidR="00B315CF" w:rsidRPr="00C51991">
        <w:t xml:space="preserve"> in working-age adults</w:t>
      </w:r>
      <w:r w:rsidR="005E424B" w:rsidRPr="00C51991">
        <w:t>.</w:t>
      </w:r>
      <w:r w:rsidR="00BE57CA" w:rsidRPr="00C51991">
        <w:rPr>
          <w:vertAlign w:val="superscript"/>
        </w:rPr>
        <w:t>6,18</w:t>
      </w:r>
      <w:r w:rsidR="00DE767B" w:rsidRPr="00C51991">
        <w:t xml:space="preserve"> </w:t>
      </w:r>
      <w:r w:rsidRPr="00C51991">
        <w:t xml:space="preserve">Individuals may lose their job, retire early, or reduce their working hours due to vision disability. Productivity losses associated with vision impairment have been estimated at </w:t>
      </w:r>
      <w:r w:rsidR="00612DC6" w:rsidRPr="00C51991">
        <w:t>€</w:t>
      </w:r>
      <w:r w:rsidR="003C30CC" w:rsidRPr="00C51991">
        <w:t>36</w:t>
      </w:r>
      <w:r w:rsidR="008A45CE" w:rsidRPr="00C51991">
        <w:t>1</w:t>
      </w:r>
      <w:r w:rsidR="003C30CC" w:rsidRPr="00C51991">
        <w:t xml:space="preserve">.4 billion </w:t>
      </w:r>
      <w:r w:rsidRPr="00C51991">
        <w:t>annually by the Lancet Global Health Commission on Eye Health.</w:t>
      </w:r>
      <w:r w:rsidRPr="00C51991">
        <w:rPr>
          <w:vertAlign w:val="superscript"/>
        </w:rPr>
        <w:t>1</w:t>
      </w:r>
      <w:r w:rsidR="009F06FC" w:rsidRPr="00C51991">
        <w:rPr>
          <w:vertAlign w:val="superscript"/>
        </w:rPr>
        <w:t>3</w:t>
      </w:r>
      <w:r w:rsidRPr="00C51991">
        <w:t xml:space="preserve"> Healthy and productive populations are required </w:t>
      </w:r>
      <w:r w:rsidR="00DF07C2" w:rsidRPr="00C51991">
        <w:t>to</w:t>
      </w:r>
      <w:r w:rsidRPr="00C51991">
        <w:t xml:space="preserve"> drive economic growth and fund healthcare systems of the future. In the CEE context, where ageing is accelerating and replacement of the workforce is decreasing, preserving sight is not just a clinical but a macroeconomic goal. Early intervention and treatment</w:t>
      </w:r>
      <w:r w:rsidR="00C568CF">
        <w:t xml:space="preserve"> </w:t>
      </w:r>
      <w:r w:rsidR="00C568CF" w:rsidRPr="00C51991">
        <w:t>allow</w:t>
      </w:r>
      <w:r w:rsidRPr="00C51991">
        <w:t xml:space="preserve"> patients to remain in employment and independent for longer, reducing long-term dependency and healthcare demand. </w:t>
      </w:r>
    </w:p>
    <w:p w14:paraId="000000AC" w14:textId="77777777" w:rsidR="00625C02" w:rsidRPr="00C51991" w:rsidRDefault="00A22398">
      <w:pPr>
        <w:spacing w:before="120" w:after="120" w:line="360" w:lineRule="auto"/>
      </w:pPr>
      <w:r w:rsidRPr="00C51991">
        <w:rPr>
          <w:b/>
        </w:rPr>
        <w:t>1.3 Goals and Objectives of the White Paper</w:t>
      </w:r>
      <w:r w:rsidRPr="00C51991">
        <w:t> </w:t>
      </w:r>
    </w:p>
    <w:p w14:paraId="000000AD" w14:textId="187DD00D" w:rsidR="00625C02" w:rsidRPr="00C51991" w:rsidRDefault="00A22398">
      <w:pPr>
        <w:spacing w:before="120" w:after="120" w:line="360" w:lineRule="auto"/>
      </w:pPr>
      <w:r w:rsidRPr="00C51991">
        <w:lastRenderedPageBreak/>
        <w:t>Good vision is fundamental to healthy ageing and social participation.</w:t>
      </w:r>
      <w:r w:rsidR="0000764C" w:rsidRPr="00C51991">
        <w:rPr>
          <w:vertAlign w:val="superscript"/>
        </w:rPr>
        <w:t>10</w:t>
      </w:r>
      <w:r w:rsidRPr="00C51991">
        <w:t xml:space="preserve"> Delays in diagnosis, limited awareness, and lack of national screening program</w:t>
      </w:r>
      <w:r w:rsidR="006017A8">
        <w:t>me</w:t>
      </w:r>
      <w:r w:rsidRPr="00C51991">
        <w:t xml:space="preserve">s remain daunting challenges. </w:t>
      </w:r>
    </w:p>
    <w:p w14:paraId="000000AE" w14:textId="284C8992" w:rsidR="00625C02" w:rsidRPr="00C51991" w:rsidRDefault="00A22398">
      <w:pPr>
        <w:spacing w:before="120" w:after="120" w:line="360" w:lineRule="auto"/>
      </w:pPr>
      <w:r w:rsidRPr="00C51991">
        <w:t>Despite the high and increasing prevalence of AMD and D</w:t>
      </w:r>
      <w:r w:rsidR="005E1263">
        <w:t>R</w:t>
      </w:r>
      <w:r w:rsidRPr="00C51991">
        <w:t>, and their growing economic impact, the EU has not yet developed a comprehensive framework or strategy to address eye care and prevent blindness among its citizens; vision health is often overlooked and deprioritised in national ageing strategies and health agendas.</w:t>
      </w:r>
      <w:r w:rsidR="0000764C" w:rsidRPr="00C51991">
        <w:rPr>
          <w:vertAlign w:val="superscript"/>
        </w:rPr>
        <w:t>6,</w:t>
      </w:r>
      <w:r w:rsidR="00C72A7A" w:rsidRPr="00C51991">
        <w:rPr>
          <w:vertAlign w:val="superscript"/>
        </w:rPr>
        <w:t>9</w:t>
      </w:r>
    </w:p>
    <w:p w14:paraId="000000AF" w14:textId="77777777" w:rsidR="00625C02" w:rsidRPr="00C51991" w:rsidRDefault="00A22398">
      <w:pPr>
        <w:spacing w:before="120" w:after="120" w:line="360" w:lineRule="auto"/>
      </w:pPr>
      <w:r w:rsidRPr="00C51991">
        <w:t>This White Paper sets out to: </w:t>
      </w:r>
    </w:p>
    <w:p w14:paraId="000000B0" w14:textId="1B466DF9" w:rsidR="00625C02" w:rsidRPr="00C51991" w:rsidRDefault="00A22398" w:rsidP="008B2C0A">
      <w:pPr>
        <w:numPr>
          <w:ilvl w:val="0"/>
          <w:numId w:val="4"/>
        </w:numPr>
        <w:spacing w:before="120" w:after="120" w:line="360" w:lineRule="auto"/>
      </w:pPr>
      <w:r w:rsidRPr="0097660A">
        <w:rPr>
          <w:b/>
          <w:bCs/>
        </w:rPr>
        <w:t xml:space="preserve">Promote </w:t>
      </w:r>
      <w:r w:rsidRPr="00C51991">
        <w:rPr>
          <w:b/>
        </w:rPr>
        <w:t>early detection</w:t>
      </w:r>
      <w:r w:rsidRPr="00C51991">
        <w:t xml:space="preserve"> of </w:t>
      </w:r>
      <w:r w:rsidR="0021457C">
        <w:t xml:space="preserve">age-related </w:t>
      </w:r>
      <w:r w:rsidRPr="00C51991">
        <w:t>retinal diseases through national screening and</w:t>
      </w:r>
      <w:r w:rsidR="0021457C">
        <w:br/>
      </w:r>
      <w:r w:rsidRPr="00C51991">
        <w:t>referral systems </w:t>
      </w:r>
    </w:p>
    <w:p w14:paraId="000000B1" w14:textId="77777777" w:rsidR="00625C02" w:rsidRPr="00C51991" w:rsidRDefault="00A22398" w:rsidP="008B2C0A">
      <w:pPr>
        <w:numPr>
          <w:ilvl w:val="0"/>
          <w:numId w:val="5"/>
        </w:numPr>
        <w:spacing w:before="120" w:after="120" w:line="360" w:lineRule="auto"/>
      </w:pPr>
      <w:r w:rsidRPr="00C51991">
        <w:rPr>
          <w:b/>
        </w:rPr>
        <w:t>Standardise care</w:t>
      </w:r>
      <w:r w:rsidRPr="00C51991">
        <w:t xml:space="preserve"> across countries by defining best practices and clinical pathways </w:t>
      </w:r>
    </w:p>
    <w:p w14:paraId="000000B2" w14:textId="77777777" w:rsidR="00625C02" w:rsidRPr="00C51991" w:rsidRDefault="00A22398" w:rsidP="008B2C0A">
      <w:pPr>
        <w:numPr>
          <w:ilvl w:val="0"/>
          <w:numId w:val="6"/>
        </w:numPr>
        <w:spacing w:before="120" w:after="120" w:line="360" w:lineRule="auto"/>
      </w:pPr>
      <w:r w:rsidRPr="00C51991">
        <w:t xml:space="preserve">Increase </w:t>
      </w:r>
      <w:r w:rsidRPr="00C51991">
        <w:rPr>
          <w:b/>
        </w:rPr>
        <w:t xml:space="preserve">access </w:t>
      </w:r>
      <w:r w:rsidRPr="0097660A">
        <w:rPr>
          <w:bCs/>
        </w:rPr>
        <w:t>to innovative diagnostics and treatment</w:t>
      </w:r>
      <w:r w:rsidRPr="00C51991">
        <w:t> </w:t>
      </w:r>
    </w:p>
    <w:p w14:paraId="000000B3" w14:textId="77777777" w:rsidR="00625C02" w:rsidRPr="00FB512E" w:rsidRDefault="00A22398" w:rsidP="008B2C0A">
      <w:pPr>
        <w:numPr>
          <w:ilvl w:val="0"/>
          <w:numId w:val="7"/>
        </w:numPr>
        <w:spacing w:before="120" w:after="120" w:line="360" w:lineRule="auto"/>
        <w:rPr>
          <w:bCs/>
        </w:rPr>
      </w:pPr>
      <w:r w:rsidRPr="00C51991">
        <w:t xml:space="preserve">Raise </w:t>
      </w:r>
      <w:r w:rsidRPr="00C51991">
        <w:rPr>
          <w:b/>
        </w:rPr>
        <w:t xml:space="preserve">awareness </w:t>
      </w:r>
      <w:r w:rsidRPr="0097660A">
        <w:rPr>
          <w:bCs/>
        </w:rPr>
        <w:t>among patients and healthcare professionals</w:t>
      </w:r>
      <w:r w:rsidRPr="00FB512E">
        <w:rPr>
          <w:bCs/>
        </w:rPr>
        <w:t> </w:t>
      </w:r>
    </w:p>
    <w:p w14:paraId="000000B4" w14:textId="77777777" w:rsidR="00625C02" w:rsidRPr="00C51991" w:rsidRDefault="00A22398" w:rsidP="008B2C0A">
      <w:pPr>
        <w:numPr>
          <w:ilvl w:val="0"/>
          <w:numId w:val="8"/>
        </w:numPr>
        <w:spacing w:before="120" w:after="120" w:line="360" w:lineRule="auto"/>
      </w:pPr>
      <w:r w:rsidRPr="0097660A">
        <w:rPr>
          <w:b/>
          <w:bCs/>
        </w:rPr>
        <w:t xml:space="preserve">Support </w:t>
      </w:r>
      <w:r w:rsidRPr="00C51991">
        <w:rPr>
          <w:b/>
        </w:rPr>
        <w:t>rehabilitation</w:t>
      </w:r>
      <w:r w:rsidRPr="0097660A">
        <w:rPr>
          <w:bCs/>
        </w:rPr>
        <w:t xml:space="preserve"> and long-term patient engagement</w:t>
      </w:r>
      <w:r w:rsidRPr="00FB512E">
        <w:rPr>
          <w:bCs/>
        </w:rPr>
        <w:t xml:space="preserve"> </w:t>
      </w:r>
      <w:r w:rsidRPr="00C51991">
        <w:t>in care </w:t>
      </w:r>
    </w:p>
    <w:p w14:paraId="000000B5" w14:textId="77777777" w:rsidR="00625C02" w:rsidRPr="00C51991" w:rsidRDefault="00A22398">
      <w:pPr>
        <w:spacing w:before="120" w:after="120" w:line="360" w:lineRule="auto"/>
      </w:pPr>
      <w:r w:rsidRPr="00C51991">
        <w:t>These objectives require a multisectoral approach, involving ministries of health, patient organisations, professional bodies, as well as EU-level stakeholders. </w:t>
      </w:r>
    </w:p>
    <w:p w14:paraId="000000B6" w14:textId="16D2EAF2" w:rsidR="00625C02" w:rsidRPr="00C51991" w:rsidRDefault="00A22398" w:rsidP="00EF170A">
      <w:pPr>
        <w:spacing w:before="120" w:after="120" w:line="360" w:lineRule="auto"/>
      </w:pPr>
      <w:r w:rsidRPr="00C51991">
        <w:rPr>
          <w:b/>
        </w:rPr>
        <w:t xml:space="preserve">1.4 </w:t>
      </w:r>
      <w:r w:rsidR="00EF170A">
        <w:rPr>
          <w:b/>
        </w:rPr>
        <w:t>Our calls to action on r</w:t>
      </w:r>
      <w:r w:rsidRPr="00C51991">
        <w:rPr>
          <w:b/>
        </w:rPr>
        <w:t>eforms for equitable healthcare</w:t>
      </w:r>
      <w:r w:rsidR="00EF170A">
        <w:rPr>
          <w:b/>
        </w:rPr>
        <w:t xml:space="preserve"> and changes to</w:t>
      </w:r>
      <w:r w:rsidRPr="00C51991">
        <w:rPr>
          <w:b/>
        </w:rPr>
        <w:t xml:space="preserve"> policy </w:t>
      </w:r>
    </w:p>
    <w:p w14:paraId="000000B7" w14:textId="348BF173" w:rsidR="00625C02" w:rsidRPr="00C51991" w:rsidRDefault="00A22398" w:rsidP="00EA19E2">
      <w:pPr>
        <w:spacing w:before="120" w:after="120" w:line="360" w:lineRule="auto"/>
      </w:pPr>
      <w:r w:rsidRPr="00C51991">
        <w:rPr>
          <w:rFonts w:eastAsia="Arial"/>
        </w:rPr>
        <w:t>To transform care for people with AMD and D</w:t>
      </w:r>
      <w:r w:rsidR="005E1263">
        <w:rPr>
          <w:rFonts w:eastAsia="Arial"/>
        </w:rPr>
        <w:t>R</w:t>
      </w:r>
      <w:r w:rsidRPr="00C51991">
        <w:rPr>
          <w:rFonts w:eastAsia="Arial"/>
        </w:rPr>
        <w:t xml:space="preserve"> in CEE, we must act together. We urge national governments and policymakers to endorse and implement some pivotal actions</w:t>
      </w:r>
      <w:r w:rsidRPr="00C51991">
        <w:t>: </w:t>
      </w:r>
    </w:p>
    <w:p w14:paraId="000000B8" w14:textId="77777777" w:rsidR="00625C02" w:rsidRPr="00C51991" w:rsidRDefault="00A22398" w:rsidP="008B2C0A">
      <w:pPr>
        <w:widowControl w:val="0"/>
        <w:numPr>
          <w:ilvl w:val="2"/>
          <w:numId w:val="10"/>
        </w:numPr>
        <w:pBdr>
          <w:top w:val="nil"/>
          <w:left w:val="nil"/>
          <w:bottom w:val="nil"/>
          <w:right w:val="nil"/>
          <w:between w:val="nil"/>
        </w:pBdr>
        <w:spacing w:before="120" w:after="120" w:line="360" w:lineRule="auto"/>
        <w:ind w:left="567" w:hanging="567"/>
        <w:rPr>
          <w:rFonts w:eastAsia="Arial"/>
          <w:b/>
          <w:color w:val="000000"/>
        </w:rPr>
      </w:pPr>
      <w:r w:rsidRPr="00C51991">
        <w:rPr>
          <w:rFonts w:eastAsia="Arial"/>
          <w:b/>
          <w:color w:val="000000"/>
        </w:rPr>
        <w:t xml:space="preserve">Develop unified regional and national guidelines </w:t>
      </w:r>
    </w:p>
    <w:p w14:paraId="000000B9" w14:textId="46D5BAB6" w:rsidR="00625C02" w:rsidRPr="00C51991" w:rsidRDefault="00A22398">
      <w:pPr>
        <w:spacing w:before="120" w:after="120" w:line="360" w:lineRule="auto"/>
        <w:ind w:left="567"/>
        <w:rPr>
          <w:rFonts w:eastAsia="Arial"/>
        </w:rPr>
      </w:pPr>
      <w:r w:rsidRPr="00C51991">
        <w:rPr>
          <w:rFonts w:eastAsia="Arial"/>
        </w:rPr>
        <w:t>Consistent with WHO’s call for standardised clinical guidelines, we call for collaboration with health ministries and retinal societies to adopt region-wide standards that:</w:t>
      </w:r>
      <w:r w:rsidRPr="00C51991">
        <w:rPr>
          <w:rFonts w:eastAsia="Arial"/>
          <w:vertAlign w:val="superscript"/>
        </w:rPr>
        <w:t>1</w:t>
      </w:r>
      <w:r w:rsidR="00EF5652" w:rsidRPr="00C51991">
        <w:rPr>
          <w:rFonts w:eastAsia="Arial"/>
          <w:vertAlign w:val="superscript"/>
        </w:rPr>
        <w:t>2</w:t>
      </w:r>
      <w:r w:rsidRPr="00C51991">
        <w:rPr>
          <w:rFonts w:eastAsia="Arial"/>
        </w:rPr>
        <w:t xml:space="preserve"> </w:t>
      </w:r>
    </w:p>
    <w:p w14:paraId="000000BA" w14:textId="773D7D38" w:rsidR="00625C02" w:rsidRPr="00C51991" w:rsidRDefault="00A22398" w:rsidP="008B2C0A">
      <w:pPr>
        <w:numPr>
          <w:ilvl w:val="0"/>
          <w:numId w:val="11"/>
        </w:numPr>
        <w:spacing w:before="120" w:after="120" w:line="360" w:lineRule="auto"/>
      </w:pPr>
      <w:r w:rsidRPr="00C51991">
        <w:t xml:space="preserve">Align national policy with the United Nations (UN) Resolution </w:t>
      </w:r>
      <w:r w:rsidRPr="00C51991">
        <w:rPr>
          <w:i/>
        </w:rPr>
        <w:t>Vision for Everyone</w:t>
      </w:r>
      <w:r w:rsidR="00B61B51" w:rsidRPr="00C51991">
        <w:rPr>
          <w:vertAlign w:val="superscript"/>
        </w:rPr>
        <w:t>15</w:t>
      </w:r>
      <w:r w:rsidRPr="00C51991">
        <w:t> </w:t>
      </w:r>
    </w:p>
    <w:p w14:paraId="000000BB" w14:textId="3407169F" w:rsidR="00625C02" w:rsidRPr="00C51991" w:rsidRDefault="00A22398" w:rsidP="008B2C0A">
      <w:pPr>
        <w:numPr>
          <w:ilvl w:val="0"/>
          <w:numId w:val="11"/>
        </w:numPr>
        <w:spacing w:before="120" w:after="120" w:line="360" w:lineRule="auto"/>
      </w:pPr>
      <w:r w:rsidRPr="00C51991">
        <w:t>Define and implement best practice guidelines, including referral protocols and monitoring schedules </w:t>
      </w:r>
    </w:p>
    <w:p w14:paraId="000000BC" w14:textId="7FAC39AB" w:rsidR="00625C02" w:rsidRDefault="00A22398" w:rsidP="008B2C0A">
      <w:pPr>
        <w:numPr>
          <w:ilvl w:val="0"/>
          <w:numId w:val="11"/>
        </w:numPr>
        <w:spacing w:before="120" w:after="120" w:line="360" w:lineRule="auto"/>
      </w:pPr>
      <w:r w:rsidRPr="00C51991">
        <w:t>Incorporate AMD and D</w:t>
      </w:r>
      <w:r w:rsidR="005E1263">
        <w:t>R</w:t>
      </w:r>
      <w:r w:rsidRPr="00C51991">
        <w:t xml:space="preserve"> prevention and vision health into national ageing and NCD strategies, as well as systemic disease control mechanisms, as encouraged by the World Health Organization (WHO) integrated people-centred eye care framework</w:t>
      </w:r>
      <w:r w:rsidRPr="00C51991">
        <w:rPr>
          <w:vertAlign w:val="superscript"/>
        </w:rPr>
        <w:t>1</w:t>
      </w:r>
      <w:r w:rsidR="00B61B51" w:rsidRPr="00C51991">
        <w:rPr>
          <w:vertAlign w:val="superscript"/>
        </w:rPr>
        <w:t>2</w:t>
      </w:r>
      <w:r w:rsidRPr="00C51991">
        <w:t> </w:t>
      </w:r>
    </w:p>
    <w:p w14:paraId="5FE3B1C8" w14:textId="08E7878C" w:rsidR="00553EFB" w:rsidRPr="00C51991" w:rsidRDefault="00553EFB" w:rsidP="00553EFB">
      <w:pPr>
        <w:pStyle w:val="ListParagraph"/>
        <w:numPr>
          <w:ilvl w:val="1"/>
          <w:numId w:val="11"/>
        </w:numPr>
      </w:pPr>
      <w:r w:rsidRPr="00E2456F">
        <w:t>The WHO provides a set of</w:t>
      </w:r>
      <w:r>
        <w:t xml:space="preserve"> </w:t>
      </w:r>
      <w:r w:rsidRPr="00E2456F">
        <w:t>structured, integrated and evidence-based eye care interventions that could be implemented to align across healthcare systems</w:t>
      </w:r>
      <w:r w:rsidRPr="00553EFB">
        <w:rPr>
          <w:vertAlign w:val="superscript"/>
        </w:rPr>
        <w:t>1</w:t>
      </w:r>
      <w:r w:rsidR="00637FDE">
        <w:rPr>
          <w:vertAlign w:val="superscript"/>
        </w:rPr>
        <w:t>1</w:t>
      </w:r>
      <w:r w:rsidRPr="00553EFB">
        <w:rPr>
          <w:vertAlign w:val="superscript"/>
        </w:rPr>
        <w:t>,</w:t>
      </w:r>
      <w:r w:rsidR="00637FDE">
        <w:rPr>
          <w:vertAlign w:val="superscript"/>
        </w:rPr>
        <w:t>20</w:t>
      </w:r>
    </w:p>
    <w:p w14:paraId="000000BD" w14:textId="51FB5144" w:rsidR="00625C02" w:rsidRPr="00C51991" w:rsidRDefault="00A22398" w:rsidP="008B2C0A">
      <w:pPr>
        <w:numPr>
          <w:ilvl w:val="0"/>
          <w:numId w:val="11"/>
        </w:numPr>
        <w:spacing w:before="120" w:after="120" w:line="360" w:lineRule="auto"/>
      </w:pPr>
      <w:r w:rsidRPr="00C51991">
        <w:t>Foster collaboration between key stakeholders in</w:t>
      </w:r>
      <w:r w:rsidR="00374D8E">
        <w:t xml:space="preserve"> age-related</w:t>
      </w:r>
      <w:r w:rsidRPr="00C51991">
        <w:t xml:space="preserve"> retinal diseases across CEE </w:t>
      </w:r>
    </w:p>
    <w:p w14:paraId="000000BE" w14:textId="77777777" w:rsidR="00625C02" w:rsidRPr="00C51991" w:rsidRDefault="00A22398" w:rsidP="008B2C0A">
      <w:pPr>
        <w:numPr>
          <w:ilvl w:val="2"/>
          <w:numId w:val="10"/>
        </w:numPr>
        <w:spacing w:before="120" w:after="120" w:line="360" w:lineRule="auto"/>
      </w:pPr>
      <w:r w:rsidRPr="00C51991">
        <w:rPr>
          <w:b/>
        </w:rPr>
        <w:t>Increase awareness and education</w:t>
      </w:r>
      <w:r w:rsidRPr="00C51991">
        <w:t> </w:t>
      </w:r>
    </w:p>
    <w:p w14:paraId="000000BF" w14:textId="17920523" w:rsidR="00625C02" w:rsidRPr="00C51991" w:rsidRDefault="00A22398">
      <w:pPr>
        <w:widowControl w:val="0"/>
        <w:pBdr>
          <w:top w:val="nil"/>
          <w:left w:val="nil"/>
          <w:bottom w:val="nil"/>
          <w:right w:val="nil"/>
          <w:between w:val="nil"/>
        </w:pBdr>
        <w:spacing w:before="120" w:after="120" w:line="360" w:lineRule="auto"/>
        <w:ind w:left="720"/>
        <w:rPr>
          <w:rFonts w:eastAsia="Arial"/>
          <w:color w:val="000000"/>
        </w:rPr>
      </w:pPr>
      <w:r w:rsidRPr="00C51991">
        <w:rPr>
          <w:rFonts w:eastAsia="Arial"/>
          <w:color w:val="000000"/>
        </w:rPr>
        <w:lastRenderedPageBreak/>
        <w:t>Early recognition of vis</w:t>
      </w:r>
      <w:r w:rsidR="00F314B8">
        <w:rPr>
          <w:rFonts w:eastAsia="Arial"/>
          <w:color w:val="000000"/>
        </w:rPr>
        <w:t>ion</w:t>
      </w:r>
      <w:r w:rsidRPr="00C51991">
        <w:rPr>
          <w:rFonts w:eastAsia="Arial"/>
          <w:color w:val="000000"/>
        </w:rPr>
        <w:t xml:space="preserve"> changes is critical, but awareness remains low. We call upon governments to fund public campaigns that:</w:t>
      </w:r>
    </w:p>
    <w:p w14:paraId="000000C0" w14:textId="569163F7" w:rsidR="00625C02" w:rsidRPr="00C51991" w:rsidRDefault="00A22398" w:rsidP="008B2C0A">
      <w:pPr>
        <w:widowControl w:val="0"/>
        <w:numPr>
          <w:ilvl w:val="0"/>
          <w:numId w:val="16"/>
        </w:numPr>
        <w:pBdr>
          <w:top w:val="nil"/>
          <w:left w:val="nil"/>
          <w:bottom w:val="nil"/>
          <w:right w:val="nil"/>
          <w:between w:val="nil"/>
        </w:pBdr>
        <w:spacing w:before="120" w:after="120" w:line="360" w:lineRule="auto"/>
        <w:rPr>
          <w:rFonts w:eastAsia="Arial"/>
          <w:color w:val="000000"/>
        </w:rPr>
      </w:pPr>
      <w:r w:rsidRPr="00C51991">
        <w:rPr>
          <w:rFonts w:eastAsia="Arial"/>
          <w:color w:val="000000"/>
        </w:rPr>
        <w:t xml:space="preserve">Increase understanding of </w:t>
      </w:r>
      <w:r w:rsidR="00374D8E">
        <w:rPr>
          <w:rFonts w:eastAsia="Arial"/>
          <w:color w:val="000000"/>
        </w:rPr>
        <w:t xml:space="preserve">age-related </w:t>
      </w:r>
      <w:r w:rsidRPr="00C51991">
        <w:rPr>
          <w:rFonts w:eastAsia="Arial"/>
          <w:color w:val="000000"/>
        </w:rPr>
        <w:t xml:space="preserve">retinal diseases among older adults, people with diabetes, and marginalised groups </w:t>
      </w:r>
    </w:p>
    <w:p w14:paraId="000000C1" w14:textId="14BBC26C" w:rsidR="00625C02" w:rsidRPr="00C51991" w:rsidRDefault="00A22398" w:rsidP="008B2C0A">
      <w:pPr>
        <w:widowControl w:val="0"/>
        <w:numPr>
          <w:ilvl w:val="0"/>
          <w:numId w:val="16"/>
        </w:numPr>
        <w:pBdr>
          <w:top w:val="nil"/>
          <w:left w:val="nil"/>
          <w:bottom w:val="nil"/>
          <w:right w:val="nil"/>
          <w:between w:val="nil"/>
        </w:pBdr>
        <w:spacing w:before="120" w:after="120" w:line="360" w:lineRule="auto"/>
        <w:rPr>
          <w:rFonts w:eastAsia="Arial"/>
          <w:color w:val="000000"/>
        </w:rPr>
      </w:pPr>
      <w:r w:rsidRPr="00C51991">
        <w:rPr>
          <w:rFonts w:eastAsia="Arial"/>
          <w:color w:val="000000"/>
        </w:rPr>
        <w:t xml:space="preserve">Elevate the visibility of </w:t>
      </w:r>
      <w:r w:rsidR="00374D8E">
        <w:rPr>
          <w:rFonts w:eastAsia="Arial"/>
          <w:color w:val="000000"/>
        </w:rPr>
        <w:t xml:space="preserve">age-related </w:t>
      </w:r>
      <w:r w:rsidRPr="00C51991">
        <w:rPr>
          <w:rFonts w:eastAsia="Arial"/>
          <w:color w:val="000000"/>
        </w:rPr>
        <w:t>retinal diseases, promoting the importance of regular eye examinations and recognition of early signs and symptoms</w:t>
      </w:r>
    </w:p>
    <w:p w14:paraId="000000C2" w14:textId="3B79712B" w:rsidR="00625C02" w:rsidRPr="00C51991" w:rsidRDefault="00A22398" w:rsidP="008B2C0A">
      <w:pPr>
        <w:numPr>
          <w:ilvl w:val="0"/>
          <w:numId w:val="13"/>
        </w:numPr>
        <w:spacing w:before="120" w:after="120" w:line="360" w:lineRule="auto"/>
      </w:pPr>
      <w:r w:rsidRPr="00C51991">
        <w:t xml:space="preserve">Train non-ophthalmic clinicians (e.g., GPs and nurses) in recognising early signs of </w:t>
      </w:r>
      <w:r w:rsidR="00073DB4">
        <w:t xml:space="preserve">age-related </w:t>
      </w:r>
      <w:r w:rsidRPr="00C51991">
        <w:t>retinal disease and making timely referrals</w:t>
      </w:r>
    </w:p>
    <w:p w14:paraId="000000C3" w14:textId="77777777" w:rsidR="00625C02" w:rsidRPr="00C51991" w:rsidRDefault="00A22398" w:rsidP="008B2C0A">
      <w:pPr>
        <w:numPr>
          <w:ilvl w:val="2"/>
          <w:numId w:val="10"/>
        </w:numPr>
        <w:spacing w:before="120" w:after="120" w:line="360" w:lineRule="auto"/>
        <w:rPr>
          <w:b/>
        </w:rPr>
      </w:pPr>
      <w:r w:rsidRPr="00C51991">
        <w:rPr>
          <w:rFonts w:eastAsia="Arial"/>
          <w:b/>
        </w:rPr>
        <w:t xml:space="preserve">Support early diagnosis </w:t>
      </w:r>
    </w:p>
    <w:p w14:paraId="000000C4" w14:textId="77777777" w:rsidR="00625C02" w:rsidRPr="00C51991" w:rsidRDefault="00A22398">
      <w:pPr>
        <w:widowControl w:val="0"/>
        <w:pBdr>
          <w:top w:val="nil"/>
          <w:left w:val="nil"/>
          <w:bottom w:val="nil"/>
          <w:right w:val="nil"/>
          <w:between w:val="nil"/>
        </w:pBdr>
        <w:spacing w:before="120" w:after="120" w:line="360" w:lineRule="auto"/>
        <w:ind w:left="720"/>
        <w:rPr>
          <w:rFonts w:eastAsia="Arial"/>
          <w:color w:val="000000"/>
        </w:rPr>
      </w:pPr>
      <w:r w:rsidRPr="00C51991">
        <w:rPr>
          <w:rFonts w:eastAsia="Arial"/>
          <w:color w:val="000000"/>
        </w:rPr>
        <w:t>We echo WHO recommendations for national diabetic retinopathy screening aligned with evidence-based protocols. We support:</w:t>
      </w:r>
    </w:p>
    <w:p w14:paraId="000000C5" w14:textId="77777777" w:rsidR="00625C02" w:rsidRPr="00C51991" w:rsidRDefault="00A22398" w:rsidP="008B2C0A">
      <w:pPr>
        <w:numPr>
          <w:ilvl w:val="0"/>
          <w:numId w:val="15"/>
        </w:numPr>
        <w:spacing w:before="120" w:after="120" w:line="360" w:lineRule="auto"/>
      </w:pPr>
      <w:r w:rsidRPr="00C51991">
        <w:t>Established or expanded national retinal screening programmes, particularly for high-risk groups</w:t>
      </w:r>
    </w:p>
    <w:p w14:paraId="000000C6" w14:textId="229A237C" w:rsidR="00625C02" w:rsidRPr="00C51991" w:rsidRDefault="00A22398" w:rsidP="008B2C0A">
      <w:pPr>
        <w:numPr>
          <w:ilvl w:val="0"/>
          <w:numId w:val="15"/>
        </w:numPr>
        <w:spacing w:before="120" w:after="120" w:line="360" w:lineRule="auto"/>
        <w:rPr>
          <w:rFonts w:eastAsia="Arial"/>
        </w:rPr>
      </w:pPr>
      <w:r w:rsidRPr="00C51991">
        <w:t>Mobile screening units to reach underserved areas and bridge rural-urban disparities</w:t>
      </w:r>
      <w:r w:rsidR="004F2599" w:rsidRPr="00EA4A74">
        <w:rPr>
          <w:vertAlign w:val="superscript"/>
        </w:rPr>
        <w:t>20</w:t>
      </w:r>
    </w:p>
    <w:p w14:paraId="000000C7" w14:textId="77777777" w:rsidR="00625C02" w:rsidRPr="00C51991" w:rsidRDefault="00A22398">
      <w:pPr>
        <w:widowControl w:val="0"/>
        <w:pBdr>
          <w:top w:val="nil"/>
          <w:left w:val="nil"/>
          <w:bottom w:val="nil"/>
          <w:right w:val="nil"/>
          <w:between w:val="nil"/>
        </w:pBdr>
        <w:spacing w:before="120" w:after="120" w:line="360" w:lineRule="auto"/>
        <w:rPr>
          <w:rFonts w:eastAsia="Arial"/>
          <w:color w:val="000000"/>
        </w:rPr>
      </w:pPr>
      <w:r w:rsidRPr="00C51991">
        <w:rPr>
          <w:rFonts w:eastAsia="Arial"/>
          <w:b/>
          <w:color w:val="000000"/>
        </w:rPr>
        <w:t>1.4.4</w:t>
      </w:r>
      <w:r w:rsidRPr="00C51991">
        <w:rPr>
          <w:rFonts w:eastAsia="Arial"/>
          <w:b/>
          <w:color w:val="000000"/>
        </w:rPr>
        <w:tab/>
        <w:t>Invest in diagnostic and treatment infrastructure</w:t>
      </w:r>
    </w:p>
    <w:p w14:paraId="000000C8" w14:textId="6572E393" w:rsidR="00625C02" w:rsidRPr="00C51991" w:rsidRDefault="00A22398">
      <w:pPr>
        <w:spacing w:before="120" w:after="120" w:line="360" w:lineRule="auto"/>
        <w:ind w:left="720"/>
      </w:pPr>
      <w:r w:rsidRPr="00C51991">
        <w:rPr>
          <w:rFonts w:eastAsia="Arial"/>
        </w:rPr>
        <w:t>OCT and fluorescein angiography are essential for early detection, yet access is limited, especially in rural areas.</w:t>
      </w:r>
      <w:r w:rsidR="00034C98" w:rsidRPr="00C51991">
        <w:rPr>
          <w:rFonts w:eastAsia="Arial"/>
          <w:vertAlign w:val="superscript"/>
        </w:rPr>
        <w:t>9</w:t>
      </w:r>
      <w:r w:rsidRPr="00C51991">
        <w:rPr>
          <w:rFonts w:eastAsia="Arial"/>
        </w:rPr>
        <w:t xml:space="preserve"> We call on the allocation of public health funds to bolster screening</w:t>
      </w:r>
      <w:r w:rsidRPr="00C51991">
        <w:t xml:space="preserve"> and diagnostic strategies through:</w:t>
      </w:r>
    </w:p>
    <w:p w14:paraId="000000C9" w14:textId="77777777" w:rsidR="00625C02" w:rsidRPr="00C51991" w:rsidRDefault="00A22398" w:rsidP="008B2C0A">
      <w:pPr>
        <w:widowControl w:val="0"/>
        <w:numPr>
          <w:ilvl w:val="0"/>
          <w:numId w:val="12"/>
        </w:numPr>
        <w:pBdr>
          <w:top w:val="nil"/>
          <w:left w:val="nil"/>
          <w:bottom w:val="nil"/>
          <w:right w:val="nil"/>
          <w:between w:val="nil"/>
        </w:pBdr>
        <w:tabs>
          <w:tab w:val="left" w:pos="730"/>
        </w:tabs>
        <w:spacing w:before="120" w:after="120" w:line="360" w:lineRule="auto"/>
        <w:ind w:left="1080"/>
        <w:rPr>
          <w:rFonts w:eastAsia="Arial"/>
          <w:color w:val="000000"/>
        </w:rPr>
      </w:pPr>
      <w:r w:rsidRPr="00C51991">
        <w:rPr>
          <w:rFonts w:eastAsia="Arial"/>
          <w:color w:val="000000"/>
        </w:rPr>
        <w:t>Investment in diagnostic and treatment infrastructure and promote the use of Amsler grids as a simple screening tool</w:t>
      </w:r>
    </w:p>
    <w:p w14:paraId="0198EBD1" w14:textId="6004B350" w:rsidR="001E3FD2" w:rsidRPr="002E7001" w:rsidRDefault="00A22398" w:rsidP="001E3FD2">
      <w:pPr>
        <w:numPr>
          <w:ilvl w:val="0"/>
          <w:numId w:val="9"/>
        </w:numPr>
        <w:spacing w:before="120" w:after="120" w:line="360" w:lineRule="auto"/>
        <w:ind w:left="1080"/>
      </w:pPr>
      <w:r w:rsidRPr="00C51991">
        <w:rPr>
          <w:rFonts w:eastAsia="Arial"/>
        </w:rPr>
        <w:t>Establishment of community monitoring hubs and treatment hubs with greater adoption of at-home or community-based monitoring where possible</w:t>
      </w:r>
    </w:p>
    <w:p w14:paraId="000000CB" w14:textId="77777777" w:rsidR="00625C02" w:rsidRPr="00C51991" w:rsidRDefault="00A22398">
      <w:pPr>
        <w:spacing w:before="120" w:after="120" w:line="360" w:lineRule="auto"/>
      </w:pPr>
      <w:r w:rsidRPr="00C51991">
        <w:rPr>
          <w:b/>
        </w:rPr>
        <w:t xml:space="preserve">1.4.5 </w:t>
      </w:r>
      <w:r w:rsidRPr="00C51991">
        <w:rPr>
          <w:b/>
        </w:rPr>
        <w:tab/>
        <w:t>Improve access to care and innovation</w:t>
      </w:r>
      <w:r w:rsidRPr="00C51991">
        <w:t> </w:t>
      </w:r>
    </w:p>
    <w:p w14:paraId="000000CC" w14:textId="77777777" w:rsidR="00625C02" w:rsidRPr="00C51991" w:rsidRDefault="00A22398">
      <w:pPr>
        <w:spacing w:before="120" w:after="120" w:line="360" w:lineRule="auto"/>
        <w:ind w:left="720"/>
        <w:rPr>
          <w:rFonts w:eastAsia="Arial"/>
        </w:rPr>
      </w:pPr>
      <w:r w:rsidRPr="00C51991">
        <w:rPr>
          <w:rFonts w:eastAsia="Arial"/>
        </w:rPr>
        <w:t>We call on member states to reduce the delay between EMA approval and national reimbursement decisions. We recommend:</w:t>
      </w:r>
    </w:p>
    <w:p w14:paraId="000000CD" w14:textId="77777777" w:rsidR="00625C02" w:rsidRPr="00C51991" w:rsidRDefault="00A22398" w:rsidP="008B2C0A">
      <w:pPr>
        <w:numPr>
          <w:ilvl w:val="0"/>
          <w:numId w:val="14"/>
        </w:numPr>
        <w:spacing w:before="120" w:after="120" w:line="360" w:lineRule="auto"/>
        <w:ind w:left="1080" w:hanging="360"/>
        <w:rPr>
          <w:rFonts w:eastAsia="Arial"/>
        </w:rPr>
      </w:pPr>
      <w:r w:rsidRPr="00C51991">
        <w:rPr>
          <w:rFonts w:eastAsia="Arial"/>
        </w:rPr>
        <w:t>A target threshold of 6 months from EMA approval to patient access across the region</w:t>
      </w:r>
    </w:p>
    <w:p w14:paraId="000000CE" w14:textId="77777777" w:rsidR="00625C02" w:rsidRPr="00C51991" w:rsidRDefault="00A22398" w:rsidP="008B2C0A">
      <w:pPr>
        <w:numPr>
          <w:ilvl w:val="0"/>
          <w:numId w:val="14"/>
        </w:numPr>
        <w:spacing w:before="120" w:after="120" w:line="360" w:lineRule="auto"/>
        <w:ind w:left="1080" w:hanging="360"/>
        <w:rPr>
          <w:rFonts w:eastAsia="Arial"/>
        </w:rPr>
      </w:pPr>
      <w:r w:rsidRPr="00C51991">
        <w:rPr>
          <w:rFonts w:eastAsia="Arial"/>
        </w:rPr>
        <w:t>Expanded government public health funding for intravitreal therapies, prioritising equity for patients in rural and underserved areas</w:t>
      </w:r>
    </w:p>
    <w:p w14:paraId="000000CF" w14:textId="57DBD818" w:rsidR="00625C02" w:rsidRPr="00C51991" w:rsidRDefault="00A22398" w:rsidP="008B2C0A">
      <w:pPr>
        <w:numPr>
          <w:ilvl w:val="0"/>
          <w:numId w:val="14"/>
        </w:numPr>
        <w:spacing w:before="120" w:after="120" w:line="360" w:lineRule="auto"/>
        <w:ind w:left="1080" w:hanging="360"/>
      </w:pPr>
      <w:r w:rsidRPr="00C51991">
        <w:t xml:space="preserve">National reimbursement policies </w:t>
      </w:r>
      <w:r w:rsidR="005C7D4D">
        <w:t xml:space="preserve">to </w:t>
      </w:r>
      <w:r w:rsidRPr="00C51991">
        <w:t>be audited and updated regularly to ensure coverage of up-to-date diagnostic tools and treatments </w:t>
      </w:r>
    </w:p>
    <w:p w14:paraId="000000D0" w14:textId="59F5B53A" w:rsidR="00625C02" w:rsidRPr="00C51991" w:rsidRDefault="00A22398" w:rsidP="008B2C0A">
      <w:pPr>
        <w:numPr>
          <w:ilvl w:val="0"/>
          <w:numId w:val="14"/>
        </w:numPr>
        <w:spacing w:before="120" w:after="120" w:line="360" w:lineRule="auto"/>
        <w:ind w:left="1080" w:hanging="360"/>
      </w:pPr>
      <w:r w:rsidRPr="00C51991">
        <w:t>Adoption of teleophthalmology and artificial intelligence (AI)-assisted screening tools to reduce system burden</w:t>
      </w:r>
      <w:r w:rsidR="00ED47FC" w:rsidRPr="00C51991">
        <w:rPr>
          <w:vertAlign w:val="superscript"/>
        </w:rPr>
        <w:t>10</w:t>
      </w:r>
      <w:r w:rsidRPr="00C51991">
        <w:t> </w:t>
      </w:r>
    </w:p>
    <w:p w14:paraId="000000D1" w14:textId="77777777" w:rsidR="00625C02" w:rsidRPr="00C51991" w:rsidRDefault="00A22398">
      <w:pPr>
        <w:spacing w:before="120" w:after="120" w:line="360" w:lineRule="auto"/>
      </w:pPr>
      <w:r w:rsidRPr="00C51991">
        <w:rPr>
          <w:b/>
        </w:rPr>
        <w:lastRenderedPageBreak/>
        <w:t>1.4.6</w:t>
      </w:r>
      <w:r w:rsidRPr="00C51991">
        <w:rPr>
          <w:b/>
        </w:rPr>
        <w:tab/>
        <w:t>Expand post-treatment support and rehabilitation</w:t>
      </w:r>
      <w:r w:rsidRPr="00C51991">
        <w:t> </w:t>
      </w:r>
    </w:p>
    <w:p w14:paraId="000000D2" w14:textId="77777777" w:rsidR="00625C02" w:rsidRPr="00C51991" w:rsidRDefault="00A22398">
      <w:pPr>
        <w:widowControl w:val="0"/>
        <w:pBdr>
          <w:top w:val="nil"/>
          <w:left w:val="nil"/>
          <w:bottom w:val="nil"/>
          <w:right w:val="nil"/>
          <w:between w:val="nil"/>
        </w:pBdr>
        <w:spacing w:before="120" w:after="120" w:line="360" w:lineRule="auto"/>
        <w:ind w:left="720"/>
        <w:rPr>
          <w:rFonts w:eastAsia="Arial"/>
          <w:color w:val="000000"/>
        </w:rPr>
      </w:pPr>
      <w:r w:rsidRPr="00C51991">
        <w:rPr>
          <w:rFonts w:eastAsia="Arial"/>
          <w:color w:val="000000"/>
        </w:rPr>
        <w:t>Support services improve long-term outcomes and quality of life and must be integrated into national healthcare pathways. We recommend:</w:t>
      </w:r>
    </w:p>
    <w:p w14:paraId="000000D3" w14:textId="77777777" w:rsidR="00625C02" w:rsidRPr="00C51991" w:rsidRDefault="00A22398" w:rsidP="008B2C0A">
      <w:pPr>
        <w:numPr>
          <w:ilvl w:val="0"/>
          <w:numId w:val="18"/>
        </w:numPr>
        <w:spacing w:before="120" w:after="120" w:line="360" w:lineRule="auto"/>
      </w:pPr>
      <w:r w:rsidRPr="00C51991">
        <w:t>Investment in vision rehabilitation clinics and services that are accessible to all patients, regardless of geography or socioeconomic status </w:t>
      </w:r>
    </w:p>
    <w:p w14:paraId="000000D4" w14:textId="77777777" w:rsidR="00625C02" w:rsidRPr="00C51991" w:rsidRDefault="00A22398" w:rsidP="008B2C0A">
      <w:pPr>
        <w:numPr>
          <w:ilvl w:val="0"/>
          <w:numId w:val="18"/>
        </w:numPr>
        <w:spacing w:before="120" w:after="120" w:line="360" w:lineRule="auto"/>
      </w:pPr>
      <w:r w:rsidRPr="00C51991">
        <w:t>Funding and promotion of assistive technologies and training to increase patient compliance and independence </w:t>
      </w:r>
    </w:p>
    <w:p w14:paraId="000000D5" w14:textId="2F645B22" w:rsidR="00625C02" w:rsidRPr="00C51991" w:rsidRDefault="00A22398">
      <w:pPr>
        <w:spacing w:before="120" w:after="120" w:line="360" w:lineRule="auto"/>
        <w:rPr>
          <w:i/>
        </w:rPr>
      </w:pPr>
      <w:r w:rsidRPr="00C51991">
        <w:rPr>
          <w:b/>
        </w:rPr>
        <w:t>1.5. Conclusion</w:t>
      </w:r>
      <w:r w:rsidRPr="00C51991">
        <w:t> </w:t>
      </w:r>
    </w:p>
    <w:p w14:paraId="41C44C6A" w14:textId="05FC10AA" w:rsidR="00022659" w:rsidRPr="00A53171" w:rsidRDefault="00A22398" w:rsidP="00A53171">
      <w:pPr>
        <w:spacing w:before="120" w:after="120" w:line="360" w:lineRule="auto"/>
      </w:pPr>
      <w:r w:rsidRPr="00C51991">
        <w:t>The opportunity to improve retinal care in Central and East Europe is both urgent and achievable. With ageing populations, rising rates of diabetes, and the availability of proven interventions, governments must act now to prioritise vision health. By implementing the policy recommendations outlined here, countries can reduce the burden of preventable blindness, support healthy ageing, and ensure that no patient is left behind.</w:t>
      </w:r>
    </w:p>
    <w:p w14:paraId="000000F2" w14:textId="77777777" w:rsidR="00625C02" w:rsidRPr="00022659" w:rsidRDefault="00625C02">
      <w:pPr>
        <w:spacing w:before="120" w:after="120" w:line="360" w:lineRule="auto"/>
        <w:ind w:left="360"/>
        <w:rPr>
          <w:b/>
          <w:lang w:val="en-CA"/>
        </w:rPr>
      </w:pPr>
    </w:p>
    <w:p w14:paraId="000000F3" w14:textId="77777777" w:rsidR="00625C02" w:rsidRDefault="00625C02">
      <w:pPr>
        <w:spacing w:before="120" w:after="120" w:line="360" w:lineRule="auto"/>
        <w:rPr>
          <w:rFonts w:ascii="Arial" w:eastAsia="Arial" w:hAnsi="Arial" w:cs="Arial"/>
          <w:b/>
        </w:rPr>
      </w:pPr>
    </w:p>
    <w:p w14:paraId="000000F4" w14:textId="77777777" w:rsidR="00625C02" w:rsidRDefault="00A22398">
      <w:pPr>
        <w:spacing w:before="120" w:after="120" w:line="360" w:lineRule="auto"/>
        <w:rPr>
          <w:b/>
        </w:rPr>
      </w:pPr>
      <w:r>
        <w:br w:type="page"/>
      </w:r>
    </w:p>
    <w:p w14:paraId="000000F5" w14:textId="0015595D" w:rsidR="00625C02" w:rsidRPr="00402D81" w:rsidRDefault="00A22398">
      <w:pPr>
        <w:pStyle w:val="Heading2"/>
        <w:spacing w:before="120" w:after="120" w:line="360" w:lineRule="auto"/>
        <w:jc w:val="center"/>
        <w:rPr>
          <w:rFonts w:asciiTheme="minorBidi" w:hAnsiTheme="minorBidi" w:cstheme="minorBidi"/>
          <w:sz w:val="22"/>
          <w:szCs w:val="22"/>
        </w:rPr>
      </w:pPr>
      <w:bookmarkStart w:id="3" w:name="_Toc210130059"/>
      <w:r w:rsidRPr="00402D81">
        <w:rPr>
          <w:rFonts w:asciiTheme="minorBidi" w:eastAsia="Arial" w:hAnsiTheme="minorBidi" w:cstheme="minorBidi"/>
          <w:b/>
          <w:sz w:val="22"/>
          <w:szCs w:val="22"/>
        </w:rPr>
        <w:lastRenderedPageBreak/>
        <w:t>CHAPTER 2</w:t>
      </w:r>
      <w:r w:rsidRPr="00402D81">
        <w:rPr>
          <w:rFonts w:asciiTheme="minorBidi" w:eastAsia="Arial" w:hAnsiTheme="minorBidi" w:cstheme="minorBidi"/>
          <w:sz w:val="22"/>
          <w:szCs w:val="22"/>
        </w:rPr>
        <w:t xml:space="preserve"> </w:t>
      </w:r>
      <w:r w:rsidRPr="00402D81">
        <w:rPr>
          <w:rFonts w:asciiTheme="minorBidi" w:eastAsia="Arial" w:hAnsiTheme="minorBidi" w:cstheme="minorBidi"/>
          <w:sz w:val="22"/>
          <w:szCs w:val="22"/>
        </w:rPr>
        <w:br/>
      </w:r>
      <w:r w:rsidRPr="00402D81">
        <w:rPr>
          <w:rFonts w:asciiTheme="minorBidi" w:hAnsiTheme="minorBidi" w:cstheme="minorBidi"/>
          <w:sz w:val="22"/>
          <w:szCs w:val="22"/>
        </w:rPr>
        <w:t xml:space="preserve">AMD </w:t>
      </w:r>
      <w:r w:rsidR="002E01C5">
        <w:rPr>
          <w:rFonts w:asciiTheme="minorBidi" w:hAnsiTheme="minorBidi" w:cstheme="minorBidi"/>
          <w:sz w:val="22"/>
          <w:szCs w:val="22"/>
        </w:rPr>
        <w:t>AND</w:t>
      </w:r>
      <w:r w:rsidRPr="00402D81">
        <w:rPr>
          <w:rFonts w:asciiTheme="minorBidi" w:hAnsiTheme="minorBidi" w:cstheme="minorBidi"/>
          <w:sz w:val="22"/>
          <w:szCs w:val="22"/>
        </w:rPr>
        <w:t xml:space="preserve"> D</w:t>
      </w:r>
      <w:r w:rsidR="005D4722">
        <w:rPr>
          <w:rFonts w:asciiTheme="minorBidi" w:hAnsiTheme="minorBidi" w:cstheme="minorBidi"/>
          <w:sz w:val="22"/>
          <w:szCs w:val="22"/>
        </w:rPr>
        <w:t>R</w:t>
      </w:r>
      <w:bookmarkEnd w:id="3"/>
    </w:p>
    <w:p w14:paraId="000000F6" w14:textId="77777777" w:rsidR="00625C02" w:rsidRPr="00BD2BC4" w:rsidRDefault="00A22398">
      <w:pPr>
        <w:spacing w:before="120" w:after="120" w:line="360" w:lineRule="auto"/>
        <w:rPr>
          <w:b/>
        </w:rPr>
      </w:pPr>
      <w:r w:rsidRPr="00BD2BC4">
        <w:rPr>
          <w:b/>
        </w:rPr>
        <w:t>2.0 Introduction</w:t>
      </w:r>
    </w:p>
    <w:p w14:paraId="000000F7" w14:textId="01F1DAF0" w:rsidR="00625C02" w:rsidRPr="00BD2BC4" w:rsidRDefault="00A22398">
      <w:pPr>
        <w:spacing w:before="120" w:after="120" w:line="360" w:lineRule="auto"/>
      </w:pPr>
      <w:r w:rsidRPr="00BD2BC4">
        <w:t>With a rapidly ageing population, global eye care needs are projected to increase substantially; by 2050, half the global population is expected to be living with a vision impairment.</w:t>
      </w:r>
      <w:r w:rsidR="002F0B6F">
        <w:rPr>
          <w:vertAlign w:val="superscript"/>
        </w:rPr>
        <w:t>21</w:t>
      </w:r>
      <w:r w:rsidRPr="00BD2BC4">
        <w:t> </w:t>
      </w:r>
    </w:p>
    <w:p w14:paraId="000000F8" w14:textId="6B2B8F8A" w:rsidR="00625C02" w:rsidRPr="00BD2BC4" w:rsidRDefault="00A22398">
      <w:pPr>
        <w:spacing w:before="120" w:after="120" w:line="360" w:lineRule="auto"/>
        <w:rPr>
          <w:vertAlign w:val="superscript"/>
        </w:rPr>
      </w:pPr>
      <w:r w:rsidRPr="00BD2BC4">
        <w:rPr>
          <w:rFonts w:eastAsia="Arial"/>
        </w:rPr>
        <w:t>Retinal diseases</w:t>
      </w:r>
      <w:r w:rsidR="005D4722">
        <w:rPr>
          <w:rFonts w:eastAsia="Arial"/>
        </w:rPr>
        <w:t xml:space="preserve"> associated with age</w:t>
      </w:r>
      <w:r w:rsidRPr="00BD2BC4">
        <w:rPr>
          <w:rFonts w:eastAsia="Arial"/>
        </w:rPr>
        <w:t>, predominantly AMD and D</w:t>
      </w:r>
      <w:r w:rsidR="005D4722">
        <w:rPr>
          <w:rFonts w:eastAsia="Arial"/>
        </w:rPr>
        <w:t>R</w:t>
      </w:r>
      <w:r w:rsidRPr="00BD2BC4">
        <w:rPr>
          <w:rFonts w:eastAsia="Arial"/>
        </w:rPr>
        <w:t>, are the main causes of visual impairment and blindness in patients aged 50 years and older in Europe.</w:t>
      </w:r>
      <w:r w:rsidR="009E5275">
        <w:rPr>
          <w:rFonts w:eastAsia="Arial"/>
          <w:vertAlign w:val="superscript"/>
        </w:rPr>
        <w:t>13</w:t>
      </w:r>
      <w:r w:rsidR="00606132" w:rsidRPr="009E5275">
        <w:rPr>
          <w:rFonts w:eastAsia="Arial"/>
          <w:vertAlign w:val="superscript"/>
        </w:rPr>
        <w:t>,2</w:t>
      </w:r>
      <w:r w:rsidR="009E5275">
        <w:rPr>
          <w:rFonts w:eastAsia="Arial"/>
          <w:vertAlign w:val="superscript"/>
        </w:rPr>
        <w:t xml:space="preserve">2-24 </w:t>
      </w:r>
      <w:r w:rsidRPr="00BD2BC4">
        <w:t>Globally, it is estimated that 196 million people live with AMD and 146 million with DR.</w:t>
      </w:r>
      <w:r w:rsidR="009E5275">
        <w:rPr>
          <w:vertAlign w:val="superscript"/>
        </w:rPr>
        <w:t>23,24</w:t>
      </w:r>
    </w:p>
    <w:p w14:paraId="000000F9" w14:textId="77777777" w:rsidR="00625C02" w:rsidRPr="00BD2BC4" w:rsidRDefault="00A22398">
      <w:pPr>
        <w:spacing w:before="120" w:after="120" w:line="360" w:lineRule="auto"/>
        <w:rPr>
          <w:b/>
        </w:rPr>
      </w:pPr>
      <w:r w:rsidRPr="00BD2BC4">
        <w:rPr>
          <w:b/>
        </w:rPr>
        <w:t>2.1 Age-related macular degeneration (AMD)</w:t>
      </w:r>
    </w:p>
    <w:p w14:paraId="000000FA" w14:textId="422041C0" w:rsidR="00625C02" w:rsidRPr="00BD2BC4" w:rsidRDefault="00A22398">
      <w:pPr>
        <w:spacing w:before="120" w:after="120" w:line="360" w:lineRule="auto"/>
        <w:rPr>
          <w:vertAlign w:val="superscript"/>
        </w:rPr>
      </w:pPr>
      <w:r w:rsidRPr="00BD2BC4">
        <w:t>AMD is a degenerative eye disease that affects the macula</w:t>
      </w:r>
      <w:r w:rsidR="003153F2">
        <w:t xml:space="preserve">, located in </w:t>
      </w:r>
      <w:r w:rsidRPr="00BD2BC4">
        <w:t>the central retina.</w:t>
      </w:r>
      <w:r w:rsidR="00C75C83" w:rsidRPr="00C75C83">
        <w:rPr>
          <w:vertAlign w:val="superscript"/>
        </w:rPr>
        <w:t xml:space="preserve"> </w:t>
      </w:r>
      <w:r w:rsidR="00C75C83">
        <w:rPr>
          <w:vertAlign w:val="superscript"/>
        </w:rPr>
        <w:t>6,</w:t>
      </w:r>
      <w:r w:rsidR="009E6490">
        <w:rPr>
          <w:vertAlign w:val="superscript"/>
        </w:rPr>
        <w:t>2</w:t>
      </w:r>
      <w:r w:rsidR="00C1425B">
        <w:rPr>
          <w:vertAlign w:val="superscript"/>
        </w:rPr>
        <w:t>5-</w:t>
      </w:r>
      <w:r w:rsidR="00C75C83">
        <w:rPr>
          <w:vertAlign w:val="superscript"/>
        </w:rPr>
        <w:t>27</w:t>
      </w:r>
      <w:r w:rsidRPr="00BD2BC4">
        <w:t xml:space="preserve"> The macula is the part of the eye responsible for sharp, central (straight ahead) vision and has the highest concentration of photoreceptors (light-sensing cells) in the eye.</w:t>
      </w:r>
      <w:r w:rsidR="00613D06">
        <w:rPr>
          <w:vertAlign w:val="superscript"/>
        </w:rPr>
        <w:t>6,26</w:t>
      </w:r>
      <w:r w:rsidRPr="00BD2BC4">
        <w:t xml:space="preserve"> Progressive degeneration of the macula results in blurred central vision, distorted vision, and the field of vision may be impacted by dark or blank spots.</w:t>
      </w:r>
      <w:r w:rsidR="00613D06">
        <w:rPr>
          <w:vertAlign w:val="superscript"/>
        </w:rPr>
        <w:t>24,25</w:t>
      </w:r>
      <w:r w:rsidR="00C87747">
        <w:rPr>
          <w:vertAlign w:val="superscript"/>
        </w:rPr>
        <w:t>,28</w:t>
      </w:r>
      <w:r w:rsidRPr="00BD2BC4">
        <w:t xml:space="preserve"> As the disease progresses it can lead to </w:t>
      </w:r>
      <w:r w:rsidRPr="00BD2BC4">
        <w:rPr>
          <w:rFonts w:eastAsia="Arial"/>
        </w:rPr>
        <w:t>neovascular or wet AMD (nAMD)</w:t>
      </w:r>
      <w:r w:rsidR="00F51B79">
        <w:rPr>
          <w:rFonts w:eastAsia="Arial"/>
        </w:rPr>
        <w:t xml:space="preserve"> or geographic atrophy (GA). nAMD</w:t>
      </w:r>
      <w:r w:rsidRPr="00BD2BC4">
        <w:rPr>
          <w:rFonts w:eastAsia="Arial"/>
        </w:rPr>
        <w:t xml:space="preserve"> involv</w:t>
      </w:r>
      <w:r w:rsidR="00F51B79">
        <w:rPr>
          <w:rFonts w:eastAsia="Arial"/>
        </w:rPr>
        <w:t>es</w:t>
      </w:r>
      <w:r w:rsidRPr="00BD2BC4">
        <w:rPr>
          <w:rFonts w:eastAsia="Arial"/>
        </w:rPr>
        <w:t xml:space="preserve"> the </w:t>
      </w:r>
      <w:r w:rsidRPr="00BD2BC4">
        <w:t>abnormal growth of new blood vessels under the retina.</w:t>
      </w:r>
      <w:r w:rsidR="00B075AD">
        <w:rPr>
          <w:vertAlign w:val="superscript"/>
        </w:rPr>
        <w:t>1</w:t>
      </w:r>
      <w:r w:rsidRPr="00BD2BC4">
        <w:t xml:space="preserve"> These blood vessels are fragile and can leak fluid and blood, damaging the macula and leading to rapid central vision loss.</w:t>
      </w:r>
      <w:r w:rsidR="00C87747">
        <w:rPr>
          <w:vertAlign w:val="superscript"/>
        </w:rPr>
        <w:t>1</w:t>
      </w:r>
      <w:r w:rsidRPr="00BD2BC4">
        <w:t xml:space="preserve"> </w:t>
      </w:r>
      <w:r w:rsidR="00905B99">
        <w:t xml:space="preserve">GA </w:t>
      </w:r>
      <w:r w:rsidR="00DD4278" w:rsidRPr="00DD4278">
        <w:t xml:space="preserve">causes </w:t>
      </w:r>
      <w:r w:rsidR="008B5D23" w:rsidRPr="008B5D23">
        <w:t>atrophic lesions in the outer retina</w:t>
      </w:r>
      <w:r w:rsidR="0016508A">
        <w:t xml:space="preserve">, leading to cell </w:t>
      </w:r>
      <w:r w:rsidR="00DD4278" w:rsidRPr="00DD4278">
        <w:t>death</w:t>
      </w:r>
      <w:r w:rsidR="00DD4278">
        <w:t xml:space="preserve"> an</w:t>
      </w:r>
      <w:r w:rsidR="0063617E">
        <w:t xml:space="preserve">d </w:t>
      </w:r>
      <w:r w:rsidR="00DD4278" w:rsidRPr="00DD4278">
        <w:t>irreversible vision loss</w:t>
      </w:r>
      <w:r w:rsidR="0063617E">
        <w:t>.</w:t>
      </w:r>
      <w:r w:rsidR="00796953">
        <w:rPr>
          <w:vertAlign w:val="superscript"/>
        </w:rPr>
        <w:t>29</w:t>
      </w:r>
      <w:r w:rsidR="0063617E">
        <w:t xml:space="preserve"> </w:t>
      </w:r>
      <w:r w:rsidR="00F22CA4" w:rsidRPr="00F22CA4">
        <w:t>The prevalence of GA increases markedly with age with around 1 in 5 people aged 85 years and over have GA in at least one eye</w:t>
      </w:r>
      <w:r w:rsidR="00F22CA4">
        <w:t>.</w:t>
      </w:r>
      <w:r w:rsidR="00796953">
        <w:rPr>
          <w:vertAlign w:val="superscript"/>
        </w:rPr>
        <w:t>30</w:t>
      </w:r>
      <w:r w:rsidR="00F22CA4" w:rsidRPr="00F22CA4">
        <w:t xml:space="preserve"> </w:t>
      </w:r>
      <w:r w:rsidRPr="00BD2BC4">
        <w:t>With loss of vision, AMD impacts activities of daily living, and the mental health and wellbeing of those living with the disease and their caregivers; up to 44% of individuals with AMD experience anxiety and depression.</w:t>
      </w:r>
      <w:r w:rsidR="007815EE">
        <w:rPr>
          <w:vertAlign w:val="superscript"/>
        </w:rPr>
        <w:t>24,25,28</w:t>
      </w:r>
    </w:p>
    <w:p w14:paraId="000000FB" w14:textId="2C21142C" w:rsidR="00625C02" w:rsidRPr="00BD2BC4" w:rsidRDefault="00A22398">
      <w:pPr>
        <w:spacing w:before="120" w:after="120" w:line="360" w:lineRule="auto"/>
      </w:pPr>
      <w:r w:rsidRPr="00BD2BC4">
        <w:t>Although AMD is a common age-related condition, there are additional factors that contribute to an increased risk, including family history, body mass index, smoking, and alcohol consumption.</w:t>
      </w:r>
      <w:r w:rsidR="00FE5E0B">
        <w:rPr>
          <w:vertAlign w:val="superscript"/>
        </w:rPr>
        <w:t>11</w:t>
      </w:r>
      <w:r w:rsidR="00C54114">
        <w:rPr>
          <w:vertAlign w:val="superscript"/>
        </w:rPr>
        <w:t>,24</w:t>
      </w:r>
      <w:r w:rsidRPr="00BD2BC4">
        <w:rPr>
          <w:vertAlign w:val="superscript"/>
        </w:rPr>
        <w:t xml:space="preserve"> </w:t>
      </w:r>
      <w:r w:rsidRPr="00BD2BC4">
        <w:t xml:space="preserve">Additionally, the disease burden is increasing, disproportionately affecting women, and is linked to socioeconomic status, education, and geographical disparities. </w:t>
      </w:r>
    </w:p>
    <w:p w14:paraId="000000FC" w14:textId="3AE181C4" w:rsidR="00625C02" w:rsidRPr="00464ADE" w:rsidRDefault="00A22398">
      <w:pPr>
        <w:spacing w:before="120" w:after="120" w:line="360" w:lineRule="auto"/>
        <w:rPr>
          <w:rFonts w:eastAsia="Arial"/>
        </w:rPr>
      </w:pPr>
      <w:r w:rsidRPr="00BD2BC4">
        <w:t>In Europe alone, almost 1 in 10 people are living with AMD and the prevalence is on the rise;</w:t>
      </w:r>
      <w:r w:rsidR="00C53449">
        <w:rPr>
          <w:vertAlign w:val="superscript"/>
        </w:rPr>
        <w:t>25</w:t>
      </w:r>
      <w:r w:rsidR="003A76C5">
        <w:rPr>
          <w:vertAlign w:val="superscript"/>
        </w:rPr>
        <w:t>,</w:t>
      </w:r>
      <w:r w:rsidR="00246920">
        <w:rPr>
          <w:vertAlign w:val="superscript"/>
        </w:rPr>
        <w:t>28</w:t>
      </w:r>
      <w:r w:rsidRPr="00BD2BC4">
        <w:t xml:space="preserve"> by 2040 it is estimated that more than 1 in 8 individuals will be affected by AMD.</w:t>
      </w:r>
      <w:r w:rsidR="00246920">
        <w:rPr>
          <w:vertAlign w:val="superscript"/>
        </w:rPr>
        <w:t>27,28</w:t>
      </w:r>
      <w:r w:rsidRPr="00BD2BC4">
        <w:rPr>
          <w:vertAlign w:val="superscript"/>
        </w:rPr>
        <w:t xml:space="preserve"> </w:t>
      </w:r>
      <w:r w:rsidRPr="00BD2BC4">
        <w:rPr>
          <w:rFonts w:eastAsia="Arial"/>
        </w:rPr>
        <w:t>The burden is significant across CEE, with a particularly high prevalence of AMD among Caucasian populations aged 45-85 years.</w:t>
      </w:r>
      <w:r w:rsidR="001C26AC">
        <w:rPr>
          <w:rFonts w:eastAsia="Arial"/>
          <w:vertAlign w:val="superscript"/>
        </w:rPr>
        <w:t>22,13</w:t>
      </w:r>
      <w:r w:rsidRPr="00BD2BC4">
        <w:rPr>
          <w:rFonts w:eastAsia="Arial"/>
        </w:rPr>
        <w:t xml:space="preserve"> Although nAMD contributes to only 10-15% of the overall prevalence of AMD, it represents approximately 90% of severe vision loss caused by macular degeneration.</w:t>
      </w:r>
      <w:r w:rsidR="001C26AC">
        <w:rPr>
          <w:rFonts w:eastAsia="Arial"/>
          <w:vertAlign w:val="superscript"/>
        </w:rPr>
        <w:t>6</w:t>
      </w:r>
      <w:r w:rsidR="00464ADE">
        <w:rPr>
          <w:rFonts w:eastAsia="Arial"/>
          <w:vertAlign w:val="superscript"/>
        </w:rPr>
        <w:t xml:space="preserve"> </w:t>
      </w:r>
    </w:p>
    <w:p w14:paraId="000000FD" w14:textId="18F9C885" w:rsidR="00625C02" w:rsidRPr="00BD2BC4" w:rsidRDefault="00A22398">
      <w:pPr>
        <w:spacing w:before="120" w:after="120" w:line="360" w:lineRule="auto"/>
      </w:pPr>
      <w:r w:rsidRPr="00BD2BC4">
        <w:t>AMD has become an increasingly severe public health issue due to its profound effect on patients’ quality of life and the considerable impact to health systems worldwide.</w:t>
      </w:r>
      <w:r w:rsidR="00A964D0">
        <w:rPr>
          <w:vertAlign w:val="superscript"/>
        </w:rPr>
        <w:t>24</w:t>
      </w:r>
      <w:r w:rsidRPr="00BD2BC4">
        <w:t xml:space="preserve"> The economic burden of late-stage AMD is substantial. A recent study conducted by Retina International estimated the total annual cost of late-stage AMD to be €449 million in Bulgaria and €7.6 billion in Germany.</w:t>
      </w:r>
      <w:r w:rsidR="00A964D0">
        <w:rPr>
          <w:vertAlign w:val="superscript"/>
        </w:rPr>
        <w:t>28</w:t>
      </w:r>
      <w:r w:rsidR="00042750" w:rsidRPr="00BD2BC4">
        <w:t xml:space="preserve"> People</w:t>
      </w:r>
      <w:r w:rsidRPr="00BD2BC4">
        <w:t xml:space="preserve"> with early or intermediate stages of AMD are often unaware of the symptoms</w:t>
      </w:r>
      <w:r w:rsidR="004B7908" w:rsidRPr="00BD2BC4">
        <w:t xml:space="preserve">; therefore, highlighting that </w:t>
      </w:r>
      <w:r w:rsidR="003F5207" w:rsidRPr="00BD2BC4">
        <w:t xml:space="preserve">screening and early detection </w:t>
      </w:r>
      <w:r w:rsidR="00FF522E">
        <w:t>are</w:t>
      </w:r>
      <w:r w:rsidR="00FF522E" w:rsidRPr="00BD2BC4">
        <w:t xml:space="preserve"> </w:t>
      </w:r>
      <w:r w:rsidR="003F5207" w:rsidRPr="00BD2BC4">
        <w:lastRenderedPageBreak/>
        <w:t xml:space="preserve">critical for timely </w:t>
      </w:r>
      <w:r w:rsidR="00203D66">
        <w:t xml:space="preserve">and accurate </w:t>
      </w:r>
      <w:r w:rsidR="003F5207" w:rsidRPr="00BD2BC4">
        <w:t>diagnosis</w:t>
      </w:r>
      <w:r w:rsidR="00203D66">
        <w:t xml:space="preserve"> and appropriate disease education</w:t>
      </w:r>
      <w:r w:rsidRPr="00BD2BC4">
        <w:t>.</w:t>
      </w:r>
      <w:r w:rsidR="00A964D0">
        <w:rPr>
          <w:vertAlign w:val="superscript"/>
        </w:rPr>
        <w:t>28</w:t>
      </w:r>
      <w:r w:rsidR="00203D66">
        <w:br/>
      </w:r>
    </w:p>
    <w:p w14:paraId="000000FE" w14:textId="1A534264" w:rsidR="00625C02" w:rsidRPr="00BD2BC4" w:rsidRDefault="00A22398">
      <w:pPr>
        <w:spacing w:before="120" w:after="120" w:line="360" w:lineRule="auto"/>
        <w:rPr>
          <w:b/>
        </w:rPr>
      </w:pPr>
      <w:r w:rsidRPr="00BD2BC4">
        <w:rPr>
          <w:b/>
        </w:rPr>
        <w:t xml:space="preserve">2.2 Diabetic </w:t>
      </w:r>
      <w:r w:rsidR="003E2B3B">
        <w:rPr>
          <w:b/>
        </w:rPr>
        <w:t>retinopathy (DR)</w:t>
      </w:r>
      <w:r w:rsidRPr="00BD2BC4">
        <w:rPr>
          <w:b/>
        </w:rPr>
        <w:t xml:space="preserve"> </w:t>
      </w:r>
    </w:p>
    <w:p w14:paraId="00000100" w14:textId="0E077E68" w:rsidR="00625C02" w:rsidRPr="00BD2BC4" w:rsidRDefault="00A22398">
      <w:pPr>
        <w:spacing w:before="120" w:after="120" w:line="360" w:lineRule="auto"/>
        <w:rPr>
          <w:vertAlign w:val="superscript"/>
        </w:rPr>
      </w:pPr>
      <w:r w:rsidRPr="00BD2BC4">
        <w:t>Diabetes can affect the retina, damaging the blood vessels rendering them leaky or blocked.</w:t>
      </w:r>
      <w:r w:rsidR="00A964D0">
        <w:rPr>
          <w:vertAlign w:val="superscript"/>
        </w:rPr>
        <w:t>22,13,</w:t>
      </w:r>
      <w:r w:rsidR="00FF1170">
        <w:rPr>
          <w:vertAlign w:val="superscript"/>
        </w:rPr>
        <w:t>25</w:t>
      </w:r>
      <w:r w:rsidRPr="00BD2BC4">
        <w:t xml:space="preserve"> </w:t>
      </w:r>
      <w:r w:rsidR="00A14F5B">
        <w:t xml:space="preserve">DR is a common complication of diabetes that </w:t>
      </w:r>
      <w:r w:rsidR="00BC6B6E">
        <w:t>affects the small blood vessels</w:t>
      </w:r>
      <w:r w:rsidR="005D2D48">
        <w:t xml:space="preserve"> of the retina </w:t>
      </w:r>
      <w:r w:rsidR="00A14F5B">
        <w:t xml:space="preserve">owing to persistent </w:t>
      </w:r>
      <w:r w:rsidR="0076015A">
        <w:t>hypoglycaemia</w:t>
      </w:r>
      <w:r w:rsidR="005D2D48">
        <w:t>.</w:t>
      </w:r>
      <w:r w:rsidR="0041752F">
        <w:rPr>
          <w:vertAlign w:val="superscript"/>
        </w:rPr>
        <w:t>31</w:t>
      </w:r>
      <w:r w:rsidR="00A14F5B">
        <w:t xml:space="preserve"> </w:t>
      </w:r>
      <w:r w:rsidRPr="00BD2BC4">
        <w:t>Abnormal and more fragile blood vessels may also grow from the retina, which can cause bleeding or scar the retina, resulting in permanent vision impairment or blindness.</w:t>
      </w:r>
      <w:r w:rsidR="00467A68">
        <w:rPr>
          <w:vertAlign w:val="superscript"/>
        </w:rPr>
        <w:t>13</w:t>
      </w:r>
      <w:r w:rsidRPr="00BD2BC4">
        <w:t xml:space="preserve"> </w:t>
      </w:r>
      <w:r w:rsidR="005D2D48">
        <w:t xml:space="preserve">DME </w:t>
      </w:r>
      <w:r w:rsidR="00F07E04" w:rsidRPr="00F07E04">
        <w:t xml:space="preserve">is a further complication of </w:t>
      </w:r>
      <w:r w:rsidR="009643FA">
        <w:t>DR</w:t>
      </w:r>
      <w:r w:rsidR="00F07E04" w:rsidRPr="00F07E04">
        <w:t>, which can occur at any stage.</w:t>
      </w:r>
      <w:r w:rsidR="00467A68">
        <w:rPr>
          <w:vertAlign w:val="superscript"/>
        </w:rPr>
        <w:t>31</w:t>
      </w:r>
      <w:r w:rsidR="00F07E04" w:rsidRPr="00F07E04">
        <w:t xml:space="preserve"> </w:t>
      </w:r>
      <w:r w:rsidRPr="00BD2BC4">
        <w:t>In DME, fluid accumulation in the macula leads to progressive thickening of the central part of the retina, causing gradual deterioration of visual acuity and eventually leading to</w:t>
      </w:r>
      <w:r w:rsidR="00DD4493">
        <w:t xml:space="preserve"> permanent vision loss</w:t>
      </w:r>
      <w:r w:rsidRPr="00BD2BC4">
        <w:t>.</w:t>
      </w:r>
      <w:r w:rsidR="00BE2E5C" w:rsidRPr="00BE2E5C">
        <w:rPr>
          <w:vertAlign w:val="superscript"/>
        </w:rPr>
        <w:t xml:space="preserve"> </w:t>
      </w:r>
      <w:r w:rsidR="00BE2E5C">
        <w:rPr>
          <w:vertAlign w:val="superscript"/>
        </w:rPr>
        <w:t>13,</w:t>
      </w:r>
      <w:r w:rsidR="00467A68">
        <w:rPr>
          <w:vertAlign w:val="superscript"/>
        </w:rPr>
        <w:t>22,25</w:t>
      </w:r>
    </w:p>
    <w:p w14:paraId="00000101" w14:textId="22B0B9B9" w:rsidR="00625C02" w:rsidRPr="00BD2BC4" w:rsidRDefault="00A22398">
      <w:pPr>
        <w:spacing w:before="120" w:after="120" w:line="360" w:lineRule="auto"/>
        <w:rPr>
          <w:b/>
        </w:rPr>
      </w:pPr>
      <w:r w:rsidRPr="00BD2BC4">
        <w:t xml:space="preserve">There are several factors that increase the risk of developing DR. In particular, poor glycaemic control in individuals with type </w:t>
      </w:r>
      <w:r w:rsidR="006F5549">
        <w:t>2</w:t>
      </w:r>
      <w:r w:rsidRPr="00BD2BC4">
        <w:t xml:space="preserve"> diabetes increases the risk of DR, progression, and eventual loss of vision.</w:t>
      </w:r>
      <w:r w:rsidR="0041752F">
        <w:rPr>
          <w:vertAlign w:val="superscript"/>
        </w:rPr>
        <w:t>32</w:t>
      </w:r>
      <w:r w:rsidRPr="00BD2BC4">
        <w:rPr>
          <w:vertAlign w:val="superscript"/>
        </w:rPr>
        <w:t xml:space="preserve"> </w:t>
      </w:r>
      <w:r w:rsidRPr="00BD2BC4">
        <w:t>Additionally, genetics, duration of diabetes, and hypertension may all play a role in DR susceptibility and progression.</w:t>
      </w:r>
      <w:r w:rsidR="0041752F">
        <w:rPr>
          <w:vertAlign w:val="superscript"/>
        </w:rPr>
        <w:t>32</w:t>
      </w:r>
    </w:p>
    <w:p w14:paraId="00000102" w14:textId="0396D1EA" w:rsidR="00625C02" w:rsidRPr="00BD2BC4" w:rsidRDefault="00A22398">
      <w:pPr>
        <w:spacing w:before="120" w:after="120" w:line="360" w:lineRule="auto"/>
        <w:rPr>
          <w:rFonts w:eastAsia="Arial"/>
        </w:rPr>
      </w:pPr>
      <w:r w:rsidRPr="00BD2BC4">
        <w:rPr>
          <w:rFonts w:eastAsia="Arial"/>
        </w:rPr>
        <w:t>The global prevalence of diabetes has tripled in the past 20 years; in 2019 it was estimated that 463 million people (9.3% of the global population) aged 20-79 years were living with diabetes.</w:t>
      </w:r>
      <w:r w:rsidR="0041752F">
        <w:rPr>
          <w:rFonts w:eastAsia="Arial"/>
          <w:vertAlign w:val="superscript"/>
        </w:rPr>
        <w:t>32</w:t>
      </w:r>
      <w:r w:rsidRPr="00BD2BC4">
        <w:rPr>
          <w:rFonts w:eastAsia="Arial"/>
        </w:rPr>
        <w:t xml:space="preserve"> In Europe, approximately 1-13% of people with diabetes will develop vision-threatening DR.</w:t>
      </w:r>
      <w:r w:rsidR="0041752F">
        <w:rPr>
          <w:rFonts w:eastAsia="Arial"/>
          <w:vertAlign w:val="superscript"/>
        </w:rPr>
        <w:t>22,24</w:t>
      </w:r>
      <w:r w:rsidRPr="00BD2BC4">
        <w:rPr>
          <w:rFonts w:eastAsia="Arial"/>
        </w:rPr>
        <w:t xml:space="preserve"> By 2045, this global number of people living with diabetes is expected to increase to 700 million, predominantly attributed to dietary and lifestyle changes related to urbani</w:t>
      </w:r>
      <w:r w:rsidR="0037213E">
        <w:rPr>
          <w:rFonts w:eastAsia="Arial"/>
        </w:rPr>
        <w:t>s</w:t>
      </w:r>
      <w:r w:rsidRPr="00BD2BC4">
        <w:rPr>
          <w:rFonts w:eastAsia="Arial"/>
        </w:rPr>
        <w:t>ation</w:t>
      </w:r>
      <w:r w:rsidR="00BE02F0">
        <w:rPr>
          <w:rFonts w:eastAsia="Arial"/>
        </w:rPr>
        <w:t xml:space="preserve">, </w:t>
      </w:r>
      <w:r w:rsidRPr="00BD2BC4">
        <w:rPr>
          <w:rFonts w:eastAsia="Arial"/>
        </w:rPr>
        <w:t>population growth, and increased life expectancy;</w:t>
      </w:r>
      <w:r w:rsidR="0041752F">
        <w:rPr>
          <w:rFonts w:eastAsia="Arial"/>
          <w:vertAlign w:val="superscript"/>
        </w:rPr>
        <w:t>32</w:t>
      </w:r>
      <w:r w:rsidRPr="00BD2BC4">
        <w:rPr>
          <w:rFonts w:eastAsia="Arial"/>
        </w:rPr>
        <w:t xml:space="preserve"> as the prevalence of diabetes increases, so will the number of individuals affected by DR. These statistics demonstrate the urgent need for awareness around diabetes and vision health, and the potential impact of screening, diagnosis, and proper disease management on preventable vision-related complications. </w:t>
      </w:r>
    </w:p>
    <w:p w14:paraId="00000103" w14:textId="77777777" w:rsidR="00625C02" w:rsidRPr="00BD2BC4" w:rsidRDefault="00A22398">
      <w:pPr>
        <w:spacing w:before="120" w:after="120" w:line="360" w:lineRule="auto"/>
        <w:rPr>
          <w:b/>
        </w:rPr>
      </w:pPr>
      <w:r w:rsidRPr="00BD2BC4">
        <w:rPr>
          <w:b/>
        </w:rPr>
        <w:t>2.3 Concluding remarks</w:t>
      </w:r>
    </w:p>
    <w:p w14:paraId="00000104" w14:textId="3FB19640" w:rsidR="00625C02" w:rsidRPr="00BD2BC4" w:rsidRDefault="00A22398">
      <w:pPr>
        <w:spacing w:before="120" w:after="120" w:line="360" w:lineRule="auto"/>
        <w:rPr>
          <w:rFonts w:eastAsia="Arial"/>
          <w:vertAlign w:val="superscript"/>
        </w:rPr>
      </w:pPr>
      <w:r w:rsidRPr="00BD2BC4">
        <w:t>With the increase of diabetes diagnoses and the ageing population, AMD and D</w:t>
      </w:r>
      <w:r w:rsidR="00E7581B">
        <w:t>R</w:t>
      </w:r>
      <w:r w:rsidRPr="00BD2BC4">
        <w:t xml:space="preserve"> are becoming increasingly important public health and societal problems for CEE. Despite the high prevalence and economic impact of AMD and D</w:t>
      </w:r>
      <w:r w:rsidR="00E7581B">
        <w:t>R</w:t>
      </w:r>
      <w:r w:rsidRPr="00BD2BC4">
        <w:t>, there is no national strategy for eye care and blindness prevention.</w:t>
      </w:r>
      <w:r w:rsidR="00B55BB9">
        <w:rPr>
          <w:vertAlign w:val="superscript"/>
        </w:rPr>
        <w:t>28</w:t>
      </w:r>
      <w:r w:rsidRPr="00BD2BC4">
        <w:t xml:space="preserve"> </w:t>
      </w:r>
      <w:r w:rsidRPr="00BD2BC4">
        <w:rPr>
          <w:rFonts w:eastAsia="Arial"/>
        </w:rPr>
        <w:t>The consequences of untreated or undertreated AMD and D</w:t>
      </w:r>
      <w:r w:rsidR="00E7581B">
        <w:rPr>
          <w:rFonts w:eastAsia="Arial"/>
        </w:rPr>
        <w:t>R</w:t>
      </w:r>
      <w:r w:rsidRPr="00BD2BC4">
        <w:rPr>
          <w:rFonts w:eastAsia="Arial"/>
        </w:rPr>
        <w:t xml:space="preserve"> are preventable and can be mitigated by timely access to preventative care, early diagnosis and screening, and access to quality care, treatment, and rehabilitation.</w:t>
      </w:r>
      <w:r w:rsidR="00BB4038">
        <w:rPr>
          <w:rFonts w:eastAsia="Arial"/>
          <w:vertAlign w:val="superscript"/>
        </w:rPr>
        <w:t>13</w:t>
      </w:r>
      <w:r w:rsidR="00BB4038" w:rsidRPr="009E5275">
        <w:rPr>
          <w:rFonts w:eastAsia="Arial"/>
          <w:vertAlign w:val="superscript"/>
        </w:rPr>
        <w:t>,2</w:t>
      </w:r>
      <w:r w:rsidR="00BB4038">
        <w:rPr>
          <w:rFonts w:eastAsia="Arial"/>
          <w:vertAlign w:val="superscript"/>
        </w:rPr>
        <w:t>2-24</w:t>
      </w:r>
    </w:p>
    <w:p w14:paraId="0000011F" w14:textId="507C6F63" w:rsidR="00625C02" w:rsidRPr="00BE2E5C" w:rsidRDefault="00A22398" w:rsidP="00BE2E5C">
      <w:pPr>
        <w:spacing w:before="240" w:after="240" w:line="360" w:lineRule="auto"/>
      </w:pPr>
      <w:r w:rsidRPr="00BD2BC4">
        <w:t>Furthermore, it is crucial to raise awareness among health administrators and policy makers in the region on the societal and financial impact of AMD and D</w:t>
      </w:r>
      <w:r w:rsidR="00A1160B">
        <w:t>R</w:t>
      </w:r>
      <w:r w:rsidRPr="00BD2BC4">
        <w:t xml:space="preserve">. There is an urgent need for national registries and consistent data collection methodologies for reliable epidemiological and economic data that will support integration of </w:t>
      </w:r>
      <w:r w:rsidR="00F668CD" w:rsidRPr="00BD2BC4">
        <w:t xml:space="preserve">care </w:t>
      </w:r>
      <w:r w:rsidR="00585D98" w:rsidRPr="00BD2BC4">
        <w:t>̶ from</w:t>
      </w:r>
      <w:r w:rsidRPr="00BD2BC4">
        <w:t xml:space="preserve"> prevention, screening and early detection to treatment access, rehabilitation and reintegration in</w:t>
      </w:r>
      <w:r w:rsidR="00B2552B">
        <w:t>to</w:t>
      </w:r>
      <w:r w:rsidRPr="00BD2BC4">
        <w:t xml:space="preserve"> society.</w:t>
      </w:r>
    </w:p>
    <w:p w14:paraId="00000120" w14:textId="1AB36ABD" w:rsidR="00625C02" w:rsidRPr="00402D81" w:rsidRDefault="00A22398">
      <w:pPr>
        <w:pStyle w:val="Heading2"/>
        <w:spacing w:before="120" w:after="120" w:line="360" w:lineRule="auto"/>
        <w:jc w:val="center"/>
        <w:rPr>
          <w:rFonts w:asciiTheme="minorBidi" w:hAnsiTheme="minorBidi" w:cstheme="minorBidi"/>
          <w:sz w:val="22"/>
          <w:szCs w:val="22"/>
        </w:rPr>
      </w:pPr>
      <w:bookmarkStart w:id="4" w:name="_Toc210130060"/>
      <w:r w:rsidRPr="00402D81">
        <w:rPr>
          <w:rFonts w:asciiTheme="minorBidi" w:eastAsia="Arial" w:hAnsiTheme="minorBidi" w:cstheme="minorBidi"/>
          <w:b/>
          <w:sz w:val="22"/>
          <w:szCs w:val="22"/>
        </w:rPr>
        <w:lastRenderedPageBreak/>
        <w:t>CHAPTER 3</w:t>
      </w:r>
      <w:r w:rsidRPr="00402D81">
        <w:rPr>
          <w:rFonts w:asciiTheme="minorBidi" w:eastAsia="Arial" w:hAnsiTheme="minorBidi" w:cstheme="minorBidi"/>
          <w:b/>
          <w:sz w:val="22"/>
          <w:szCs w:val="22"/>
        </w:rPr>
        <w:br/>
      </w:r>
      <w:r w:rsidRPr="00402D81">
        <w:rPr>
          <w:rFonts w:asciiTheme="minorBidi" w:hAnsiTheme="minorBidi" w:cstheme="minorBidi"/>
          <w:sz w:val="22"/>
          <w:szCs w:val="22"/>
        </w:rPr>
        <w:t>STANDARDI</w:t>
      </w:r>
      <w:r w:rsidR="00D15DC6">
        <w:rPr>
          <w:rFonts w:asciiTheme="minorBidi" w:hAnsiTheme="minorBidi" w:cstheme="minorBidi"/>
          <w:sz w:val="22"/>
          <w:szCs w:val="22"/>
        </w:rPr>
        <w:t>S</w:t>
      </w:r>
      <w:r w:rsidRPr="00402D81">
        <w:rPr>
          <w:rFonts w:asciiTheme="minorBidi" w:hAnsiTheme="minorBidi" w:cstheme="minorBidi"/>
          <w:sz w:val="22"/>
          <w:szCs w:val="22"/>
        </w:rPr>
        <w:t>ING THE PATIENT JOURNEY IN CENTRAL AND EAST EUROPE</w:t>
      </w:r>
      <w:bookmarkEnd w:id="4"/>
    </w:p>
    <w:p w14:paraId="00000121" w14:textId="2D4927C5" w:rsidR="00625C02" w:rsidRPr="00E300D7" w:rsidRDefault="00A22398">
      <w:pPr>
        <w:widowControl w:val="0"/>
        <w:pBdr>
          <w:top w:val="nil"/>
          <w:left w:val="nil"/>
          <w:bottom w:val="nil"/>
          <w:right w:val="nil"/>
          <w:between w:val="nil"/>
        </w:pBdr>
        <w:spacing w:before="120" w:after="120" w:line="360" w:lineRule="auto"/>
        <w:rPr>
          <w:rFonts w:eastAsia="Arial"/>
          <w:color w:val="000000"/>
        </w:rPr>
      </w:pPr>
      <w:bookmarkStart w:id="5" w:name="_heading=h.rvicfpv7xqi2" w:colFirst="0" w:colLast="0"/>
      <w:bookmarkEnd w:id="5"/>
      <w:r w:rsidRPr="00E300D7">
        <w:rPr>
          <w:rFonts w:eastAsia="Arial"/>
          <w:b/>
          <w:color w:val="000000"/>
        </w:rPr>
        <w:t xml:space="preserve">3.0 Our shared responsibility </w:t>
      </w:r>
      <w:r w:rsidR="0058149C">
        <w:rPr>
          <w:rFonts w:eastAsia="Arial"/>
          <w:b/>
          <w:color w:val="000000"/>
        </w:rPr>
        <w:t xml:space="preserve">for </w:t>
      </w:r>
      <w:r w:rsidRPr="00E300D7">
        <w:rPr>
          <w:rFonts w:eastAsia="Arial"/>
          <w:b/>
          <w:color w:val="000000"/>
        </w:rPr>
        <w:t>preserving vision</w:t>
      </w:r>
    </w:p>
    <w:p w14:paraId="00000122" w14:textId="3B25529A"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The impact of vision impairment and loss cannot be understated, as millions also lose their independence and quality of life. These are not isolated cases, but a systemic regional crisis exacerbated by delayed diagnoses, inadequate access to specialists and treatment, and fragmented care pathways.</w:t>
      </w:r>
      <w:r w:rsidR="00F54BE3">
        <w:rPr>
          <w:rFonts w:eastAsia="Arial"/>
          <w:color w:val="000000"/>
          <w:vertAlign w:val="superscript"/>
        </w:rPr>
        <w:t>1</w:t>
      </w:r>
      <w:r w:rsidRPr="00E300D7">
        <w:rPr>
          <w:rFonts w:eastAsia="Arial"/>
          <w:color w:val="000000"/>
        </w:rPr>
        <w:t xml:space="preserve"> The disparities are stark, and the stakes are high: preventable blindness is affecting thousands unnecessarily. </w:t>
      </w:r>
    </w:p>
    <w:p w14:paraId="00000123" w14:textId="649E52C5"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 xml:space="preserve">As united patient advocates from across CEE, we believe every </w:t>
      </w:r>
      <w:r w:rsidR="00AE38A3" w:rsidRPr="00E300D7">
        <w:rPr>
          <w:rFonts w:eastAsia="Arial"/>
          <w:color w:val="000000"/>
        </w:rPr>
        <w:t>person</w:t>
      </w:r>
      <w:r w:rsidR="00AE38A3" w:rsidRPr="00E300D7">
        <w:rPr>
          <w:rFonts w:eastAsia="Arial"/>
        </w:rPr>
        <w:t xml:space="preserve"> </w:t>
      </w:r>
      <w:r w:rsidR="007407F8" w:rsidRPr="00E300D7">
        <w:rPr>
          <w:rFonts w:eastAsia="Arial"/>
        </w:rPr>
        <w:t>̶ regardless</w:t>
      </w:r>
      <w:r w:rsidRPr="00E300D7">
        <w:rPr>
          <w:rFonts w:eastAsia="Arial"/>
          <w:color w:val="000000"/>
        </w:rPr>
        <w:t xml:space="preserve"> of where they live</w:t>
      </w:r>
      <w:r w:rsidRPr="00E300D7">
        <w:rPr>
          <w:rFonts w:eastAsia="Arial"/>
        </w:rPr>
        <w:t xml:space="preserve">  ̶  </w:t>
      </w:r>
      <w:r w:rsidRPr="00E300D7">
        <w:rPr>
          <w:rFonts w:eastAsia="Arial"/>
          <w:color w:val="000000"/>
        </w:rPr>
        <w:t xml:space="preserve">deserves timely, effective and equitable eye care. </w:t>
      </w:r>
    </w:p>
    <w:p w14:paraId="00000124" w14:textId="536777F6"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 xml:space="preserve">We call for urgent, collaborative action to standardise care and close the gaps across national borders. This chapter highlights the importance of regional collaboration, maps patient experiences, </w:t>
      </w:r>
      <w:r w:rsidR="006A752E">
        <w:rPr>
          <w:rFonts w:eastAsia="Arial"/>
          <w:color w:val="000000"/>
        </w:rPr>
        <w:t>points out</w:t>
      </w:r>
      <w:r w:rsidR="003827F6">
        <w:rPr>
          <w:rFonts w:eastAsia="Arial"/>
          <w:color w:val="000000"/>
        </w:rPr>
        <w:t xml:space="preserve"> </w:t>
      </w:r>
      <w:r w:rsidRPr="00E300D7">
        <w:rPr>
          <w:rFonts w:eastAsia="Arial"/>
          <w:color w:val="000000"/>
        </w:rPr>
        <w:t xml:space="preserve">system-level disparities and recommends clear, actionable policies to ensure equitable access to diagnostic and treatment services. </w:t>
      </w:r>
    </w:p>
    <w:p w14:paraId="00000125"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Our aim is to reshape vision care across CEE into a more uniform and effective healthcare landscape.</w:t>
      </w:r>
    </w:p>
    <w:p w14:paraId="00000126"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b/>
          <w:color w:val="000000"/>
        </w:rPr>
        <w:t>3.1 The fragmented patient experience</w:t>
      </w:r>
    </w:p>
    <w:p w14:paraId="00000127" w14:textId="7599EA14"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The ideal patient journey is one guided by best clinical practices underpinned by awareness and education among patients and physicians. The journey begins with timely diagnoses, an achievable step when patients are aware of vis</w:t>
      </w:r>
      <w:r w:rsidR="004078BA">
        <w:rPr>
          <w:rFonts w:eastAsia="Arial"/>
          <w:color w:val="000000"/>
        </w:rPr>
        <w:t>ion</w:t>
      </w:r>
      <w:r w:rsidRPr="00E300D7">
        <w:rPr>
          <w:rFonts w:eastAsia="Arial"/>
          <w:color w:val="000000"/>
        </w:rPr>
        <w:t xml:space="preserve"> changes and promptly visit their primary care physician</w:t>
      </w:r>
      <w:r w:rsidR="00AB4B30">
        <w:rPr>
          <w:rFonts w:eastAsia="Arial"/>
          <w:color w:val="000000"/>
        </w:rPr>
        <w:t xml:space="preserve"> for referral t</w:t>
      </w:r>
      <w:r w:rsidR="003E7754">
        <w:rPr>
          <w:rFonts w:eastAsia="Arial"/>
          <w:color w:val="000000"/>
        </w:rPr>
        <w:t>o an ophthalmologist who</w:t>
      </w:r>
      <w:r w:rsidRPr="00E300D7">
        <w:rPr>
          <w:rFonts w:eastAsia="Arial"/>
          <w:color w:val="000000"/>
        </w:rPr>
        <w:t xml:space="preserve"> is </w:t>
      </w:r>
      <w:r w:rsidR="004078BA">
        <w:rPr>
          <w:rFonts w:eastAsia="Arial"/>
          <w:color w:val="000000"/>
        </w:rPr>
        <w:t xml:space="preserve">certified </w:t>
      </w:r>
      <w:r w:rsidRPr="00E300D7">
        <w:rPr>
          <w:rFonts w:eastAsia="Arial"/>
          <w:color w:val="000000"/>
        </w:rPr>
        <w:t xml:space="preserve">to </w:t>
      </w:r>
      <w:r w:rsidR="00F72A8D">
        <w:rPr>
          <w:rFonts w:eastAsia="Arial"/>
          <w:color w:val="000000"/>
        </w:rPr>
        <w:t>diagnose</w:t>
      </w:r>
      <w:r w:rsidR="00F72A8D" w:rsidRPr="00E300D7">
        <w:rPr>
          <w:rFonts w:eastAsia="Arial"/>
          <w:color w:val="000000"/>
        </w:rPr>
        <w:t xml:space="preserve"> </w:t>
      </w:r>
      <w:r w:rsidRPr="00E300D7">
        <w:rPr>
          <w:rFonts w:eastAsia="Arial"/>
          <w:color w:val="000000"/>
        </w:rPr>
        <w:t xml:space="preserve">AMD and/or </w:t>
      </w:r>
      <w:r w:rsidR="00AE38A3" w:rsidRPr="00E300D7">
        <w:rPr>
          <w:rFonts w:eastAsia="Arial"/>
          <w:color w:val="000000"/>
        </w:rPr>
        <w:t>D</w:t>
      </w:r>
      <w:r w:rsidR="00021674">
        <w:rPr>
          <w:rFonts w:eastAsia="Arial"/>
          <w:color w:val="000000"/>
        </w:rPr>
        <w:t>R</w:t>
      </w:r>
      <w:r w:rsidR="00AE38A3">
        <w:rPr>
          <w:rFonts w:eastAsia="Arial"/>
          <w:color w:val="000000"/>
        </w:rPr>
        <w:t>,</w:t>
      </w:r>
      <w:r w:rsidR="00AE38A3" w:rsidRPr="00E300D7">
        <w:rPr>
          <w:rFonts w:eastAsia="Arial"/>
        </w:rPr>
        <w:t xml:space="preserve"> or</w:t>
      </w:r>
      <w:r w:rsidR="00F72A8D">
        <w:rPr>
          <w:rFonts w:eastAsia="Arial"/>
          <w:color w:val="000000"/>
        </w:rPr>
        <w:t xml:space="preserve"> directly to</w:t>
      </w:r>
      <w:r w:rsidRPr="00E300D7">
        <w:rPr>
          <w:rFonts w:eastAsia="Arial"/>
          <w:color w:val="000000"/>
        </w:rPr>
        <w:t xml:space="preserve"> an ophthalmologist if symptoms are severe. Established and clear protocols ensure the patient is referred to a retinal specialist without delay allowing for accurate diagnosis and prompt initiation of therapy.</w:t>
      </w:r>
      <w:r w:rsidR="00721FA5">
        <w:rPr>
          <w:rFonts w:eastAsia="Arial"/>
          <w:color w:val="000000"/>
          <w:vertAlign w:val="superscript"/>
        </w:rPr>
        <w:t>1</w:t>
      </w:r>
      <w:r w:rsidRPr="00E300D7">
        <w:rPr>
          <w:rFonts w:eastAsia="Arial"/>
          <w:color w:val="000000"/>
        </w:rPr>
        <w:t xml:space="preserve"> Follow-up appointments at regular intervals co</w:t>
      </w:r>
      <w:r w:rsidR="000A2CE0">
        <w:rPr>
          <w:rFonts w:eastAsia="Arial"/>
          <w:color w:val="000000"/>
        </w:rPr>
        <w:t>nsisting</w:t>
      </w:r>
      <w:r w:rsidRPr="00E300D7">
        <w:rPr>
          <w:rFonts w:eastAsia="Arial"/>
          <w:color w:val="000000"/>
        </w:rPr>
        <w:t xml:space="preserve"> of continued imaging and visual function tests ensure long-term disease control and visual preservation. Lastly, the patient should receive education, rehabilitation resources, and psychosocial support to remain active and independent (Fig. </w:t>
      </w:r>
      <w:r w:rsidR="00FF7A39">
        <w:rPr>
          <w:rFonts w:eastAsia="Arial"/>
          <w:color w:val="000000"/>
        </w:rPr>
        <w:t>3</w:t>
      </w:r>
      <w:r w:rsidRPr="00E300D7">
        <w:rPr>
          <w:rFonts w:eastAsia="Arial"/>
          <w:color w:val="000000"/>
        </w:rPr>
        <w:t xml:space="preserve">). </w:t>
      </w:r>
    </w:p>
    <w:p w14:paraId="00000128" w14:textId="6074DD6B"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 xml:space="preserve">Unfortunately, this gold-standard journey remains aspirational in much of CEE, where delays and gaps in care significantly impact patient care and outcomes (Fig. </w:t>
      </w:r>
      <w:r w:rsidR="00FF7A39">
        <w:rPr>
          <w:rFonts w:eastAsia="Arial"/>
          <w:color w:val="000000"/>
        </w:rPr>
        <w:t>3</w:t>
      </w:r>
      <w:r w:rsidRPr="00E300D7">
        <w:rPr>
          <w:rFonts w:eastAsia="Arial"/>
          <w:color w:val="000000"/>
        </w:rPr>
        <w:t xml:space="preserve">). </w:t>
      </w:r>
    </w:p>
    <w:p w14:paraId="00000129" w14:textId="77777777" w:rsidR="00625C02" w:rsidRPr="00E300D7" w:rsidRDefault="00625C02">
      <w:pPr>
        <w:widowControl w:val="0"/>
        <w:pBdr>
          <w:top w:val="nil"/>
          <w:left w:val="nil"/>
          <w:bottom w:val="nil"/>
          <w:right w:val="nil"/>
          <w:between w:val="nil"/>
        </w:pBdr>
        <w:spacing w:before="120" w:after="120" w:line="360" w:lineRule="auto"/>
        <w:rPr>
          <w:rFonts w:eastAsia="Arial"/>
          <w:color w:val="000000"/>
        </w:rPr>
      </w:pPr>
    </w:p>
    <w:p w14:paraId="0000012B" w14:textId="11334755" w:rsidR="00625C02" w:rsidRPr="004475D2" w:rsidRDefault="00A22398" w:rsidP="004475D2">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b/>
          <w:color w:val="000000"/>
        </w:rPr>
        <w:lastRenderedPageBreak/>
        <w:t xml:space="preserve">Figure </w:t>
      </w:r>
      <w:r w:rsidR="00FF7A39">
        <w:rPr>
          <w:rFonts w:eastAsia="Arial"/>
          <w:b/>
          <w:color w:val="000000"/>
        </w:rPr>
        <w:t>3</w:t>
      </w:r>
      <w:r w:rsidRPr="00E300D7">
        <w:rPr>
          <w:rFonts w:eastAsia="Arial"/>
          <w:b/>
          <w:color w:val="000000"/>
        </w:rPr>
        <w:t>.</w:t>
      </w:r>
      <w:r w:rsidRPr="00E300D7">
        <w:rPr>
          <w:rFonts w:eastAsia="Arial"/>
          <w:color w:val="000000"/>
        </w:rPr>
        <w:t xml:space="preserve"> The ideal patient journey and the impact of delays on patient care</w:t>
      </w:r>
      <w:r w:rsidRPr="00E300D7">
        <w:rPr>
          <w:noProof/>
        </w:rPr>
        <w:drawing>
          <wp:anchor distT="0" distB="0" distL="114300" distR="114300" simplePos="0" relativeHeight="251658241" behindDoc="0" locked="0" layoutInCell="1" hidden="0" allowOverlap="1" wp14:anchorId="5165DD5A" wp14:editId="64211B5E">
            <wp:simplePos x="0" y="0"/>
            <wp:positionH relativeFrom="column">
              <wp:posOffset>663599</wp:posOffset>
            </wp:positionH>
            <wp:positionV relativeFrom="paragraph">
              <wp:posOffset>635</wp:posOffset>
            </wp:positionV>
            <wp:extent cx="4986020" cy="2708275"/>
            <wp:effectExtent l="0" t="0" r="0" b="0"/>
            <wp:wrapTopAndBottom distT="0" distB="0"/>
            <wp:docPr id="2" name="image1.jpg" descr="Description: The diagram depicts two parallel patient care pathways. Both pathways follow the same steps. The ideal pathway is shown in green. The background transitions from light green (top right) to light peach (bottom left), symbolising the contrast between optimal care and systemic challenges. Each step highlights where patients may encounter delays or gaps in care compared to the ideal scenario. Low public awareness delays first consultation. Long wait times, especially in rural areas, prevent timely referral. Primary care physicians may not have adequate training to identify and diagnose age-related retinal disease accurately, impacting timeliness of treatment initiation. Approval and reimbursement of treatments create additional barriers. Finally, ongoing monitoring and supportive care is inconsistent, fragmented, or non-existe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image1.jpg" descr="Description: The diagram depicts two parallel patient care pathways. Both pathways follow the same steps. The ideal pathway is shown in green. The background transitions from light green (top right) to light peach (bottom left), symbolising the contrast between optimal care and systemic challenges. Each step highlights where patients may encounter delays or gaps in care compared to the ideal scenario. Low public awareness delays first consultation. Long wait times, especially in rural areas, prevent timely referral. Primary care physicians may not have adequate training to identify and diagnose age-related retinal disease accurately, impacting timeliness of treatment initiation. Approval and reimbursement of treatments create additional barriers. Finally, ongoing monitoring and supportive care is inconsistent, fragmented, or non-existent">
                      <a:extLst>
                        <a:ext uri="{C183D7F6-B498-43B3-948B-1728B52AA6E4}">
                          <adec:decorative xmlns:adec="http://schemas.microsoft.com/office/drawing/2017/decorative" val="0"/>
                        </a:ext>
                      </a:extLst>
                    </pic:cNvPr>
                    <pic:cNvPicPr preferRelativeResize="0"/>
                  </pic:nvPicPr>
                  <pic:blipFill>
                    <a:blip r:embed="rId16"/>
                    <a:srcRect/>
                    <a:stretch>
                      <a:fillRect/>
                    </a:stretch>
                  </pic:blipFill>
                  <pic:spPr>
                    <a:xfrm>
                      <a:off x="0" y="0"/>
                      <a:ext cx="4986020" cy="2708275"/>
                    </a:xfrm>
                    <a:prstGeom prst="rect">
                      <a:avLst/>
                    </a:prstGeom>
                    <a:ln/>
                  </pic:spPr>
                </pic:pic>
              </a:graphicData>
            </a:graphic>
          </wp:anchor>
        </w:drawing>
      </w:r>
    </w:p>
    <w:p w14:paraId="0000012C"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b/>
          <w:color w:val="000000"/>
        </w:rPr>
        <w:t>3.2 Disparities in access to specialised care</w:t>
      </w:r>
    </w:p>
    <w:p w14:paraId="0000012D"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Availability and access to specialised care are key to timely diagnosis and treatment; however, across CEE, lack of public and HCP awareness, fragmented referral systems, and geographic variations in access impose significant barriers. Furthermore, social and structural determinants of health underpin impediments to timely diagnosis of retinal conditions in CEE.</w:t>
      </w:r>
    </w:p>
    <w:p w14:paraId="0000012E" w14:textId="77777777" w:rsidR="00625C02" w:rsidRPr="00E300D7" w:rsidRDefault="00A22398">
      <w:pPr>
        <w:widowControl w:val="0"/>
        <w:pBdr>
          <w:top w:val="nil"/>
          <w:left w:val="nil"/>
          <w:bottom w:val="nil"/>
          <w:right w:val="nil"/>
          <w:between w:val="nil"/>
        </w:pBdr>
        <w:spacing w:before="120" w:after="120" w:line="360" w:lineRule="auto"/>
        <w:rPr>
          <w:rFonts w:eastAsia="Arial"/>
          <w:b/>
          <w:color w:val="000000"/>
        </w:rPr>
      </w:pPr>
      <w:r w:rsidRPr="00E300D7">
        <w:rPr>
          <w:rFonts w:eastAsia="Arial"/>
          <w:b/>
          <w:color w:val="000000"/>
        </w:rPr>
        <w:t>3.2.1 Awareness and health literacy</w:t>
      </w:r>
    </w:p>
    <w:p w14:paraId="0000012F"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Lack of awareness reduces perceived need for preventive visitation or follow-up, while elevated public awareness can create demand for governmental action.</w:t>
      </w:r>
    </w:p>
    <w:p w14:paraId="00000130" w14:textId="5222C502"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One of the most powerful findings across the region is that many patients with diabetes in CEE are unaware of the need for regular eye exams and live in areas without specialist services.</w:t>
      </w:r>
      <w:r w:rsidR="00721FA5">
        <w:rPr>
          <w:rFonts w:eastAsia="Arial"/>
          <w:color w:val="000000"/>
          <w:vertAlign w:val="superscript"/>
        </w:rPr>
        <w:t>31</w:t>
      </w:r>
      <w:r w:rsidRPr="00E300D7">
        <w:rPr>
          <w:rFonts w:eastAsia="Arial"/>
          <w:color w:val="000000"/>
        </w:rPr>
        <w:t xml:space="preserve"> The DR Barometer Report reports a significant percentage of individuals with diabetes who do not have yearly eye tests (25%), or are not referred for ophthalmologic evaluation until visual symptoms have progressed (16%).</w:t>
      </w:r>
      <w:r w:rsidR="00721FA5">
        <w:rPr>
          <w:rFonts w:eastAsia="Arial"/>
          <w:color w:val="000000"/>
          <w:vertAlign w:val="superscript"/>
        </w:rPr>
        <w:t>31</w:t>
      </w:r>
      <w:r w:rsidRPr="00E300D7">
        <w:rPr>
          <w:rFonts w:eastAsia="Arial"/>
          <w:color w:val="000000"/>
        </w:rPr>
        <w:t xml:space="preserve"> This is often a result of poor education at diagnosis of diabetes, and a lack of coordination between primary care doctors and eye care services. </w:t>
      </w:r>
    </w:p>
    <w:p w14:paraId="00000131" w14:textId="41BAD9F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Poor awareness may also extend to healthcare professionals. GPs and endocrinologists do not routinely screen patients with diabetes for visual complications.</w:t>
      </w:r>
      <w:r w:rsidR="00DD29EE">
        <w:rPr>
          <w:rFonts w:eastAsia="Arial"/>
          <w:color w:val="000000"/>
          <w:vertAlign w:val="superscript"/>
        </w:rPr>
        <w:t>31</w:t>
      </w:r>
      <w:r w:rsidRPr="00E300D7">
        <w:rPr>
          <w:rFonts w:eastAsia="Arial"/>
          <w:color w:val="000000"/>
        </w:rPr>
        <w:t xml:space="preserve"> This is especially problematic in rural communities, as evidenced by studies showing delayed diagnosis and reduced access to ophthalmology care.</w:t>
      </w:r>
      <w:r w:rsidR="00DD29EE">
        <w:rPr>
          <w:rFonts w:eastAsia="Arial"/>
          <w:color w:val="000000"/>
          <w:vertAlign w:val="superscript"/>
        </w:rPr>
        <w:t>33</w:t>
      </w:r>
      <w:r w:rsidRPr="00E300D7">
        <w:rPr>
          <w:rFonts w:eastAsia="Arial"/>
          <w:color w:val="000000"/>
        </w:rPr>
        <w:t> Additionally, physicians may not adequately inform patients about the risks of their conditions, or refer patients to specialists.</w:t>
      </w:r>
      <w:r w:rsidR="00DD29EE">
        <w:rPr>
          <w:rFonts w:eastAsia="Arial"/>
          <w:color w:val="000000"/>
          <w:vertAlign w:val="superscript"/>
        </w:rPr>
        <w:t>28</w:t>
      </w:r>
    </w:p>
    <w:p w14:paraId="00000132" w14:textId="5D8BABC4" w:rsidR="00625C02" w:rsidRPr="00E300D7" w:rsidRDefault="00A22398">
      <w:pPr>
        <w:spacing w:line="360" w:lineRule="auto"/>
      </w:pPr>
      <w:r w:rsidRPr="00E300D7">
        <w:t xml:space="preserve">Education and health literacy levels further hinder patients in seeking early care, delaying diagnosis and timely treatment. </w:t>
      </w:r>
      <w:r w:rsidRPr="00E300D7">
        <w:rPr>
          <w:rFonts w:eastAsia="Arial"/>
        </w:rPr>
        <w:t>Most individuals are unaware of the early signs of AMD and D</w:t>
      </w:r>
      <w:r w:rsidR="004C4AC7">
        <w:rPr>
          <w:rFonts w:eastAsia="Arial"/>
        </w:rPr>
        <w:t>R</w:t>
      </w:r>
      <w:r w:rsidRPr="00E300D7">
        <w:rPr>
          <w:rFonts w:eastAsia="Arial"/>
        </w:rPr>
        <w:t xml:space="preserve"> and falsely assume vision loss is a normal aspect of ageing.</w:t>
      </w:r>
      <w:r w:rsidR="00DD29EE">
        <w:rPr>
          <w:rFonts w:eastAsia="Arial"/>
          <w:vertAlign w:val="superscript"/>
        </w:rPr>
        <w:t>1,</w:t>
      </w:r>
      <w:r w:rsidR="00463346">
        <w:rPr>
          <w:rFonts w:eastAsia="Arial"/>
          <w:vertAlign w:val="superscript"/>
        </w:rPr>
        <w:t>10,</w:t>
      </w:r>
      <w:r w:rsidR="00DD29EE">
        <w:rPr>
          <w:rFonts w:eastAsia="Arial"/>
          <w:vertAlign w:val="superscript"/>
        </w:rPr>
        <w:t>31</w:t>
      </w:r>
    </w:p>
    <w:p w14:paraId="00000133" w14:textId="68F68AFC"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lastRenderedPageBreak/>
        <w:t xml:space="preserve">Patient </w:t>
      </w:r>
      <w:r w:rsidR="005B63A1">
        <w:rPr>
          <w:rFonts w:eastAsia="Arial"/>
          <w:color w:val="000000"/>
        </w:rPr>
        <w:t>A</w:t>
      </w:r>
      <w:r w:rsidRPr="00E300D7">
        <w:rPr>
          <w:rFonts w:eastAsia="Arial"/>
          <w:color w:val="000000"/>
        </w:rPr>
        <w:t xml:space="preserve">dvocacy </w:t>
      </w:r>
      <w:r w:rsidR="005B63A1">
        <w:rPr>
          <w:rFonts w:eastAsia="Arial"/>
          <w:color w:val="000000"/>
        </w:rPr>
        <w:t>G</w:t>
      </w:r>
      <w:r w:rsidRPr="00E300D7">
        <w:rPr>
          <w:rFonts w:eastAsia="Arial"/>
          <w:color w:val="000000"/>
        </w:rPr>
        <w:t xml:space="preserve">roups (PAGs) </w:t>
      </w:r>
      <w:r w:rsidRPr="00E300D7">
        <w:rPr>
          <w:rFonts w:eastAsia="Arial"/>
        </w:rPr>
        <w:t xml:space="preserve">can be </w:t>
      </w:r>
      <w:r w:rsidRPr="00E300D7">
        <w:rPr>
          <w:rFonts w:eastAsia="Arial"/>
          <w:color w:val="000000"/>
        </w:rPr>
        <w:t xml:space="preserve">valuable </w:t>
      </w:r>
      <w:r w:rsidRPr="00E300D7">
        <w:rPr>
          <w:rFonts w:eastAsia="Arial"/>
        </w:rPr>
        <w:t>partners in</w:t>
      </w:r>
      <w:r w:rsidRPr="00E300D7">
        <w:rPr>
          <w:rFonts w:eastAsia="Arial"/>
          <w:color w:val="000000"/>
        </w:rPr>
        <w:t xml:space="preserve"> the management of disease and the education and support of patients. </w:t>
      </w:r>
      <w:r w:rsidR="005B63A1">
        <w:rPr>
          <w:rFonts w:eastAsia="Arial"/>
          <w:color w:val="000000"/>
        </w:rPr>
        <w:t>Upskilling</w:t>
      </w:r>
      <w:r w:rsidR="000605F1">
        <w:rPr>
          <w:rFonts w:eastAsia="Arial"/>
          <w:color w:val="000000"/>
        </w:rPr>
        <w:t xml:space="preserve"> </w:t>
      </w:r>
      <w:r w:rsidRPr="00E300D7">
        <w:rPr>
          <w:rFonts w:eastAsia="Arial"/>
          <w:color w:val="000000"/>
        </w:rPr>
        <w:t>program</w:t>
      </w:r>
      <w:r w:rsidR="009A700C">
        <w:rPr>
          <w:rFonts w:eastAsia="Arial"/>
          <w:color w:val="000000"/>
        </w:rPr>
        <w:t>me</w:t>
      </w:r>
      <w:r w:rsidRPr="00E300D7">
        <w:rPr>
          <w:rFonts w:eastAsia="Arial"/>
          <w:color w:val="000000"/>
        </w:rPr>
        <w:t xml:space="preserve">s such as </w:t>
      </w:r>
      <w:r w:rsidR="000605F1">
        <w:rPr>
          <w:rFonts w:eastAsia="Arial"/>
          <w:color w:val="000000"/>
        </w:rPr>
        <w:t xml:space="preserve">those offered by </w:t>
      </w:r>
      <w:r w:rsidRPr="00E300D7">
        <w:rPr>
          <w:rFonts w:eastAsia="Arial"/>
          <w:color w:val="000000"/>
        </w:rPr>
        <w:t>EUPATI may help improve PAG capacities and impact.</w:t>
      </w:r>
      <w:r w:rsidR="00463346">
        <w:rPr>
          <w:rFonts w:eastAsia="Arial"/>
          <w:color w:val="000000"/>
          <w:vertAlign w:val="superscript"/>
        </w:rPr>
        <w:t>34</w:t>
      </w:r>
      <w:r w:rsidRPr="00E300D7">
        <w:rPr>
          <w:rFonts w:eastAsia="Arial"/>
          <w:color w:val="000000"/>
        </w:rPr>
        <w:t xml:space="preserve"> Facilitating collaboration between key stakeholders, including PAGs, government, professional ophthalmic associations, unions, religious groups and businesses across CEE will be critical to improving outcomes in </w:t>
      </w:r>
      <w:r w:rsidR="00073DB4">
        <w:rPr>
          <w:rFonts w:eastAsia="Arial"/>
          <w:color w:val="000000"/>
        </w:rPr>
        <w:t xml:space="preserve">age-related </w:t>
      </w:r>
      <w:r w:rsidRPr="00E300D7">
        <w:rPr>
          <w:rFonts w:eastAsia="Arial"/>
          <w:color w:val="000000"/>
        </w:rPr>
        <w:t>retinal diseases; the success of Action4AMD forms a blueprint for this initiative.</w:t>
      </w:r>
      <w:r w:rsidR="00463346">
        <w:rPr>
          <w:rFonts w:eastAsia="Arial"/>
          <w:color w:val="000000"/>
          <w:vertAlign w:val="superscript"/>
        </w:rPr>
        <w:t>2</w:t>
      </w:r>
      <w:r w:rsidRPr="00E300D7">
        <w:rPr>
          <w:rFonts w:eastAsia="Arial"/>
          <w:color w:val="000000"/>
          <w:vertAlign w:val="superscript"/>
        </w:rPr>
        <w:t xml:space="preserve"> </w:t>
      </w:r>
      <w:r w:rsidRPr="00E300D7">
        <w:rPr>
          <w:rFonts w:eastAsia="Arial"/>
          <w:color w:val="000000"/>
        </w:rPr>
        <w:t xml:space="preserve">Expanding the variety of HCPs involved in the management of retinal diseases </w:t>
      </w:r>
      <w:r w:rsidR="00CA3311">
        <w:rPr>
          <w:rFonts w:eastAsia="Arial"/>
          <w:color w:val="000000"/>
        </w:rPr>
        <w:t xml:space="preserve">associated with age </w:t>
      </w:r>
      <w:r w:rsidRPr="00E300D7">
        <w:rPr>
          <w:rFonts w:eastAsia="Arial"/>
          <w:color w:val="000000"/>
        </w:rPr>
        <w:t>may ease healthcare capacity issues. Improving patient outcomes with targeted professional training and the integration of vision health into non-communicable disease (NCD) management guidelines is a key point of intervention. </w:t>
      </w:r>
    </w:p>
    <w:p w14:paraId="00000134"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b/>
          <w:color w:val="000000"/>
        </w:rPr>
        <w:t>3.2.2 Access to specialised care</w:t>
      </w:r>
      <w:r w:rsidRPr="00E300D7">
        <w:rPr>
          <w:rFonts w:eastAsia="Arial"/>
          <w:color w:val="000000"/>
        </w:rPr>
        <w:t xml:space="preserve"> </w:t>
      </w:r>
    </w:p>
    <w:p w14:paraId="00000135" w14:textId="54E96C04"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The number of eye care workers per million population has long been used as a guide in workforce planning.</w:t>
      </w:r>
      <w:r w:rsidRPr="00E300D7">
        <w:rPr>
          <w:rFonts w:eastAsia="Arial"/>
          <w:color w:val="000000"/>
          <w:vertAlign w:val="superscript"/>
        </w:rPr>
        <w:t>1</w:t>
      </w:r>
      <w:r w:rsidRPr="00E300D7">
        <w:rPr>
          <w:rFonts w:eastAsia="Arial"/>
          <w:color w:val="000000"/>
        </w:rPr>
        <w:t xml:space="preserve"> While the number of ophthalmologists per million in CEE is on par with the rest of Europe, the numbers alone do not consider other determining factors (e.g., population structure, epidemiology, regulations and standards, the location of current workforce and public demand).</w:t>
      </w:r>
      <w:r w:rsidR="00463346">
        <w:rPr>
          <w:rFonts w:eastAsia="Arial"/>
          <w:color w:val="000000"/>
          <w:vertAlign w:val="superscript"/>
        </w:rPr>
        <w:t>1,22,35</w:t>
      </w:r>
      <w:r w:rsidRPr="00E300D7">
        <w:rPr>
          <w:rFonts w:eastAsia="Arial"/>
          <w:color w:val="000000"/>
        </w:rPr>
        <w:t xml:space="preserve"> Vision health services across much of CEE are situated in large city centres. The availability of eye care, especially in rural and remote areas, is limited, while specialist care is sub-standard or non-existent.</w:t>
      </w:r>
      <w:r w:rsidR="00AC0727">
        <w:rPr>
          <w:rFonts w:eastAsia="Arial"/>
          <w:color w:val="000000"/>
          <w:vertAlign w:val="superscript"/>
        </w:rPr>
        <w:t>9,31</w:t>
      </w:r>
      <w:r w:rsidRPr="00E300D7">
        <w:rPr>
          <w:rFonts w:eastAsia="Arial"/>
          <w:color w:val="000000"/>
        </w:rPr>
        <w:t xml:space="preserve"> Diagnosis and treatment centres (including key diagnostic equipment such as optical coherence tomography [OCT] machines) are mostly concentrated in capital cities and large city hospitals.</w:t>
      </w:r>
      <w:r w:rsidR="00AC0727">
        <w:rPr>
          <w:rFonts w:eastAsia="Arial"/>
          <w:color w:val="000000"/>
          <w:vertAlign w:val="superscript"/>
        </w:rPr>
        <w:t>33</w:t>
      </w:r>
      <w:r w:rsidRPr="00E300D7">
        <w:rPr>
          <w:rFonts w:eastAsia="Arial"/>
          <w:color w:val="000000"/>
        </w:rPr>
        <w:t xml:space="preserve"> Rural patients, by contrast, face long travel distances and inadequate public transport. </w:t>
      </w:r>
    </w:p>
    <w:p w14:paraId="00000136" w14:textId="38106DE1"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The issue of proximity is compounded by an absence of appropriately trained personnel, particularly ophthalmologists with expertise in retinal disease</w:t>
      </w:r>
      <w:r w:rsidR="00CA3311">
        <w:rPr>
          <w:rFonts w:eastAsia="Arial"/>
          <w:color w:val="000000"/>
        </w:rPr>
        <w:t xml:space="preserve"> associated</w:t>
      </w:r>
      <w:r w:rsidR="00EB4481">
        <w:rPr>
          <w:rFonts w:eastAsia="Arial"/>
          <w:color w:val="000000"/>
        </w:rPr>
        <w:t xml:space="preserve"> with age</w:t>
      </w:r>
      <w:r w:rsidRPr="00E300D7">
        <w:rPr>
          <w:rFonts w:eastAsia="Arial"/>
          <w:color w:val="000000"/>
        </w:rPr>
        <w:t xml:space="preserve">. GPs are often the first and only point of contact in most rural communities; unfortunately, GPs may not have adequate training to identify early presentation of </w:t>
      </w:r>
      <w:r w:rsidR="00EB4481">
        <w:rPr>
          <w:rFonts w:eastAsia="Arial"/>
          <w:color w:val="000000"/>
        </w:rPr>
        <w:t xml:space="preserve">age-related </w:t>
      </w:r>
      <w:r w:rsidRPr="00E300D7">
        <w:rPr>
          <w:rFonts w:eastAsia="Arial"/>
          <w:color w:val="000000"/>
        </w:rPr>
        <w:t>retinal disease or to refer to the appropriate specialists. Ineffective referral pathways between primary care, diabetologists, and eye specialists also delay diagnosis and treatment.</w:t>
      </w:r>
      <w:r w:rsidR="00E86FDF">
        <w:rPr>
          <w:rFonts w:eastAsia="Arial"/>
          <w:color w:val="000000"/>
          <w:vertAlign w:val="superscript"/>
        </w:rPr>
        <w:t>9</w:t>
      </w:r>
      <w:r w:rsidRPr="00E300D7">
        <w:rPr>
          <w:rFonts w:eastAsia="Arial"/>
          <w:color w:val="000000"/>
        </w:rPr>
        <w:t xml:space="preserve"> Regionalisation of services through devolved care and collaboration with private organisations could ease rural and CEE-wide capacity difficulties for check-ups and therapy administration. </w:t>
      </w:r>
    </w:p>
    <w:p w14:paraId="00000137" w14:textId="25792FBF"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In addition to the geographical disparities, many of these services are in the private sector and must be paid out of pocket by many individuals.</w:t>
      </w:r>
      <w:r w:rsidR="00E86FDF">
        <w:rPr>
          <w:rFonts w:eastAsia="Arial"/>
          <w:color w:val="000000"/>
          <w:vertAlign w:val="superscript"/>
        </w:rPr>
        <w:t>1,31</w:t>
      </w:r>
    </w:p>
    <w:p w14:paraId="103180E2" w14:textId="41635B6C" w:rsidR="00E05DE3" w:rsidRPr="00E05DE3" w:rsidRDefault="00A22398" w:rsidP="00E05DE3">
      <w:pPr>
        <w:widowControl w:val="0"/>
        <w:pBdr>
          <w:top w:val="nil"/>
          <w:left w:val="nil"/>
          <w:bottom w:val="nil"/>
          <w:right w:val="nil"/>
          <w:between w:val="nil"/>
        </w:pBdr>
        <w:spacing w:before="120" w:after="120" w:line="360" w:lineRule="auto"/>
        <w:rPr>
          <w:rFonts w:eastAsia="Times New Roman"/>
          <w:sz w:val="16"/>
          <w:szCs w:val="16"/>
          <w:lang w:val="hr-HR" w:eastAsia="zh-CN"/>
        </w:rPr>
      </w:pPr>
      <w:r w:rsidRPr="00E300D7">
        <w:rPr>
          <w:rFonts w:eastAsia="Arial"/>
          <w:color w:val="000000"/>
        </w:rPr>
        <w:t>Adding to the disparity in access and further compounding timely diagnosis, some countries have national screening initiatives for specific conditions such as diabetic retinopathy, while others lack standardised general protocols (</w:t>
      </w:r>
      <w:r w:rsidR="00E05DE3">
        <w:rPr>
          <w:rFonts w:eastAsia="Arial"/>
          <w:color w:val="000000"/>
        </w:rPr>
        <w:t>Table 1</w:t>
      </w:r>
      <w:r w:rsidRPr="00E300D7">
        <w:rPr>
          <w:rFonts w:eastAsia="Arial"/>
          <w:color w:val="000000"/>
        </w:rPr>
        <w:t>).</w:t>
      </w:r>
      <w:r w:rsidR="00E86FDF">
        <w:rPr>
          <w:rFonts w:eastAsia="Arial"/>
          <w:color w:val="000000"/>
          <w:vertAlign w:val="superscript"/>
        </w:rPr>
        <w:t>11,35</w:t>
      </w:r>
      <w:r w:rsidRPr="00E300D7">
        <w:rPr>
          <w:rFonts w:eastAsia="Arial"/>
          <w:color w:val="000000"/>
        </w:rPr>
        <w:t xml:space="preserve"> </w:t>
      </w:r>
    </w:p>
    <w:p w14:paraId="00000139"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b/>
          <w:color w:val="000000"/>
        </w:rPr>
        <w:t>Table 1</w:t>
      </w:r>
      <w:r w:rsidRPr="00E300D7">
        <w:rPr>
          <w:rFonts w:eastAsia="Arial"/>
          <w:color w:val="000000"/>
        </w:rPr>
        <w:t>. Overview of protocol disparities across CEE countries</w:t>
      </w:r>
    </w:p>
    <w:tbl>
      <w:tblPr>
        <w:tblStyle w:val="a0"/>
        <w:tblW w:w="10201" w:type="dxa"/>
        <w:jc w:val="center"/>
        <w:tblLayout w:type="fixed"/>
        <w:tblLook w:val="0400" w:firstRow="0" w:lastRow="0" w:firstColumn="0" w:lastColumn="0" w:noHBand="0" w:noVBand="1"/>
      </w:tblPr>
      <w:tblGrid>
        <w:gridCol w:w="1902"/>
        <w:gridCol w:w="1603"/>
        <w:gridCol w:w="1608"/>
        <w:gridCol w:w="1603"/>
        <w:gridCol w:w="1608"/>
        <w:gridCol w:w="1877"/>
      </w:tblGrid>
      <w:tr w:rsidR="00E05DE3" w:rsidRPr="00E300D7" w14:paraId="2F6D67D8" w14:textId="77777777" w:rsidTr="009F121D">
        <w:trPr>
          <w:cantSplit/>
          <w:trHeight w:val="1262"/>
          <w:jc w:val="center"/>
        </w:trPr>
        <w:tc>
          <w:tcPr>
            <w:tcW w:w="1902" w:type="dxa"/>
            <w:tcBorders>
              <w:top w:val="single" w:sz="4" w:space="0" w:color="000000"/>
              <w:left w:val="single" w:sz="4" w:space="0" w:color="000000"/>
            </w:tcBorders>
            <w:vAlign w:val="center"/>
          </w:tcPr>
          <w:p w14:paraId="0000013A" w14:textId="01255B6B" w:rsidR="00E05DE3" w:rsidRPr="00E300D7" w:rsidRDefault="00E05DE3" w:rsidP="00C36268">
            <w:pPr>
              <w:widowControl w:val="0"/>
              <w:pBdr>
                <w:top w:val="nil"/>
                <w:left w:val="nil"/>
                <w:bottom w:val="nil"/>
                <w:right w:val="nil"/>
                <w:between w:val="nil"/>
              </w:pBdr>
              <w:spacing w:before="120" w:after="120" w:line="360" w:lineRule="auto"/>
              <w:jc w:val="center"/>
              <w:rPr>
                <w:rFonts w:eastAsia="Arial"/>
                <w:b/>
                <w:bCs/>
                <w:color w:val="000000"/>
              </w:rPr>
            </w:pPr>
            <w:r w:rsidRPr="00E300D7">
              <w:rPr>
                <w:rFonts w:eastAsia="Arial"/>
                <w:b/>
                <w:bCs/>
                <w:color w:val="000000"/>
              </w:rPr>
              <w:lastRenderedPageBreak/>
              <w:t>Country</w:t>
            </w:r>
          </w:p>
        </w:tc>
        <w:tc>
          <w:tcPr>
            <w:tcW w:w="1603" w:type="dxa"/>
            <w:tcBorders>
              <w:top w:val="single" w:sz="4" w:space="0" w:color="000000"/>
              <w:left w:val="single" w:sz="4" w:space="0" w:color="000000"/>
            </w:tcBorders>
            <w:vAlign w:val="center"/>
          </w:tcPr>
          <w:p w14:paraId="0000013B" w14:textId="1DBB41F8" w:rsidR="00E05DE3" w:rsidRPr="00E300D7" w:rsidRDefault="00E05DE3" w:rsidP="00C36268">
            <w:pPr>
              <w:widowControl w:val="0"/>
              <w:pBdr>
                <w:top w:val="nil"/>
                <w:left w:val="nil"/>
                <w:bottom w:val="nil"/>
                <w:right w:val="nil"/>
                <w:between w:val="nil"/>
              </w:pBdr>
              <w:spacing w:before="120" w:after="120" w:line="360" w:lineRule="auto"/>
              <w:jc w:val="center"/>
              <w:rPr>
                <w:rFonts w:eastAsia="Arial"/>
                <w:b/>
                <w:bCs/>
                <w:color w:val="000000"/>
              </w:rPr>
            </w:pPr>
            <w:r w:rsidRPr="00E300D7">
              <w:rPr>
                <w:rFonts w:eastAsia="Arial"/>
                <w:b/>
                <w:bCs/>
                <w:color w:val="000000"/>
              </w:rPr>
              <w:t xml:space="preserve">National screening for </w:t>
            </w:r>
            <w:r>
              <w:rPr>
                <w:rFonts w:eastAsia="Arial"/>
                <w:b/>
                <w:bCs/>
                <w:color w:val="000000"/>
              </w:rPr>
              <w:t>DR</w:t>
            </w:r>
          </w:p>
        </w:tc>
        <w:tc>
          <w:tcPr>
            <w:tcW w:w="1608" w:type="dxa"/>
            <w:tcBorders>
              <w:top w:val="single" w:sz="4" w:space="0" w:color="000000"/>
              <w:left w:val="single" w:sz="4" w:space="0" w:color="000000"/>
            </w:tcBorders>
            <w:vAlign w:val="center"/>
          </w:tcPr>
          <w:p w14:paraId="0000013C" w14:textId="7878AB90" w:rsidR="00E05DE3" w:rsidRPr="00E300D7" w:rsidRDefault="00E05DE3" w:rsidP="00C36268">
            <w:pPr>
              <w:widowControl w:val="0"/>
              <w:pBdr>
                <w:top w:val="nil"/>
                <w:left w:val="nil"/>
                <w:bottom w:val="nil"/>
                <w:right w:val="nil"/>
                <w:between w:val="nil"/>
              </w:pBdr>
              <w:spacing w:before="120" w:after="120" w:line="360" w:lineRule="auto"/>
              <w:jc w:val="center"/>
              <w:rPr>
                <w:rFonts w:eastAsia="Arial"/>
                <w:b/>
                <w:bCs/>
                <w:color w:val="000000"/>
              </w:rPr>
            </w:pPr>
            <w:r w:rsidRPr="00E300D7">
              <w:rPr>
                <w:rFonts w:eastAsia="Arial"/>
                <w:b/>
                <w:bCs/>
                <w:color w:val="000000"/>
              </w:rPr>
              <w:t>AMD protocols</w:t>
            </w:r>
          </w:p>
        </w:tc>
        <w:tc>
          <w:tcPr>
            <w:tcW w:w="1603" w:type="dxa"/>
            <w:tcBorders>
              <w:top w:val="single" w:sz="4" w:space="0" w:color="000000"/>
              <w:left w:val="single" w:sz="4" w:space="0" w:color="000000"/>
            </w:tcBorders>
            <w:vAlign w:val="center"/>
          </w:tcPr>
          <w:p w14:paraId="0000013D" w14:textId="58D115B4" w:rsidR="00E05DE3" w:rsidRPr="00E300D7" w:rsidRDefault="00E05DE3" w:rsidP="00C36268">
            <w:pPr>
              <w:widowControl w:val="0"/>
              <w:pBdr>
                <w:top w:val="nil"/>
                <w:left w:val="nil"/>
                <w:bottom w:val="nil"/>
                <w:right w:val="nil"/>
                <w:between w:val="nil"/>
              </w:pBdr>
              <w:spacing w:before="120" w:after="120" w:line="360" w:lineRule="auto"/>
              <w:jc w:val="center"/>
              <w:rPr>
                <w:rFonts w:eastAsia="Arial"/>
                <w:b/>
                <w:bCs/>
                <w:color w:val="000000"/>
              </w:rPr>
            </w:pPr>
            <w:r w:rsidRPr="00E300D7">
              <w:rPr>
                <w:rFonts w:eastAsia="Arial"/>
                <w:b/>
                <w:bCs/>
                <w:color w:val="000000"/>
              </w:rPr>
              <w:t>OCT access</w:t>
            </w:r>
          </w:p>
        </w:tc>
        <w:tc>
          <w:tcPr>
            <w:tcW w:w="1608" w:type="dxa"/>
            <w:tcBorders>
              <w:top w:val="single" w:sz="4" w:space="0" w:color="000000"/>
              <w:left w:val="single" w:sz="4" w:space="0" w:color="000000"/>
            </w:tcBorders>
            <w:vAlign w:val="center"/>
          </w:tcPr>
          <w:p w14:paraId="0000013E" w14:textId="2866CC21" w:rsidR="00E05DE3" w:rsidRPr="00E300D7" w:rsidRDefault="00E05DE3" w:rsidP="00C36268">
            <w:pPr>
              <w:widowControl w:val="0"/>
              <w:pBdr>
                <w:top w:val="nil"/>
                <w:left w:val="nil"/>
                <w:bottom w:val="nil"/>
                <w:right w:val="nil"/>
                <w:between w:val="nil"/>
              </w:pBdr>
              <w:spacing w:before="120" w:after="120" w:line="360" w:lineRule="auto"/>
              <w:jc w:val="center"/>
              <w:rPr>
                <w:rFonts w:eastAsia="Arial"/>
                <w:b/>
                <w:bCs/>
                <w:color w:val="000000"/>
              </w:rPr>
            </w:pPr>
            <w:r w:rsidRPr="00E300D7">
              <w:rPr>
                <w:rFonts w:eastAsia="Arial"/>
                <w:b/>
                <w:bCs/>
                <w:color w:val="000000"/>
              </w:rPr>
              <w:t>Specialist density</w:t>
            </w:r>
          </w:p>
        </w:tc>
        <w:tc>
          <w:tcPr>
            <w:tcW w:w="1877" w:type="dxa"/>
            <w:tcBorders>
              <w:top w:val="single" w:sz="4" w:space="0" w:color="000000"/>
              <w:left w:val="single" w:sz="4" w:space="0" w:color="000000"/>
              <w:right w:val="single" w:sz="4" w:space="0" w:color="000000"/>
            </w:tcBorders>
            <w:vAlign w:val="center"/>
          </w:tcPr>
          <w:p w14:paraId="0000013F" w14:textId="63C47C75" w:rsidR="00E05DE3" w:rsidRPr="00E300D7" w:rsidRDefault="00E05DE3" w:rsidP="00C36268">
            <w:pPr>
              <w:widowControl w:val="0"/>
              <w:pBdr>
                <w:top w:val="nil"/>
                <w:left w:val="nil"/>
                <w:bottom w:val="nil"/>
                <w:right w:val="nil"/>
                <w:between w:val="nil"/>
              </w:pBdr>
              <w:spacing w:before="120" w:after="120" w:line="360" w:lineRule="auto"/>
              <w:jc w:val="center"/>
              <w:rPr>
                <w:rFonts w:eastAsia="Arial"/>
                <w:b/>
                <w:bCs/>
                <w:color w:val="000000"/>
              </w:rPr>
            </w:pPr>
            <w:r w:rsidRPr="00E300D7">
              <w:rPr>
                <w:rFonts w:eastAsia="Arial"/>
                <w:b/>
                <w:bCs/>
                <w:color w:val="000000"/>
              </w:rPr>
              <w:t>Notes</w:t>
            </w:r>
          </w:p>
        </w:tc>
      </w:tr>
      <w:tr w:rsidR="00E05DE3" w:rsidRPr="00E300D7" w14:paraId="1335A363" w14:textId="77777777" w:rsidTr="009F121D">
        <w:trPr>
          <w:cantSplit/>
          <w:trHeight w:val="788"/>
          <w:jc w:val="center"/>
        </w:trPr>
        <w:tc>
          <w:tcPr>
            <w:tcW w:w="1902" w:type="dxa"/>
            <w:tcBorders>
              <w:top w:val="single" w:sz="4" w:space="0" w:color="000000"/>
              <w:left w:val="single" w:sz="4" w:space="0" w:color="000000"/>
            </w:tcBorders>
          </w:tcPr>
          <w:p w14:paraId="584AB965"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1EEB8BFA" wp14:editId="4D65CAB7">
                  <wp:extent cx="468000" cy="468000"/>
                  <wp:effectExtent l="0" t="0" r="8255" b="0"/>
                  <wp:docPr id="12" name="Picture 11">
                    <a:extLst xmlns:a="http://schemas.openxmlformats.org/drawingml/2006/main">
                      <a:ext uri="{FF2B5EF4-FFF2-40B4-BE49-F238E27FC236}">
                        <a16:creationId xmlns:a16="http://schemas.microsoft.com/office/drawing/2014/main" id="{44A52D41-F06B-484B-93DB-E7C793A8E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4A52D41-F06B-484B-93DB-E7C793A8E10C}"/>
                              </a:ext>
                            </a:extLst>
                          </pic:cNvPr>
                          <pic:cNvPicPr>
                            <a:picLocks noChangeAspect="1"/>
                          </pic:cNvPicPr>
                        </pic:nvPicPr>
                        <pic:blipFill>
                          <a:blip r:embed="rId17"/>
                          <a:stretch>
                            <a:fillRect/>
                          </a:stretch>
                        </pic:blipFill>
                        <pic:spPr>
                          <a:xfrm>
                            <a:off x="0" y="0"/>
                            <a:ext cx="468000" cy="468000"/>
                          </a:xfrm>
                          <a:prstGeom prst="rect">
                            <a:avLst/>
                          </a:prstGeom>
                        </pic:spPr>
                      </pic:pic>
                    </a:graphicData>
                  </a:graphic>
                </wp:inline>
              </w:drawing>
            </w:r>
          </w:p>
          <w:p w14:paraId="00000140" w14:textId="27451202"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HUNGARY</w:t>
            </w:r>
          </w:p>
        </w:tc>
        <w:tc>
          <w:tcPr>
            <w:tcW w:w="1603" w:type="dxa"/>
            <w:tcBorders>
              <w:top w:val="single" w:sz="4" w:space="0" w:color="000000"/>
              <w:left w:val="single" w:sz="4" w:space="0" w:color="000000"/>
            </w:tcBorders>
          </w:tcPr>
          <w:p w14:paraId="00000141" w14:textId="130410C9"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1E04A485" wp14:editId="33285051">
                  <wp:extent cx="504000" cy="504000"/>
                  <wp:effectExtent l="0" t="0" r="0" b="0"/>
                  <wp:docPr id="15"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tc>
        <w:tc>
          <w:tcPr>
            <w:tcW w:w="1608" w:type="dxa"/>
            <w:tcBorders>
              <w:top w:val="single" w:sz="4" w:space="0" w:color="000000"/>
              <w:left w:val="single" w:sz="4" w:space="0" w:color="000000"/>
            </w:tcBorders>
          </w:tcPr>
          <w:p w14:paraId="46F1158E"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6316B70D" wp14:editId="79795AD1">
                  <wp:extent cx="320040" cy="320040"/>
                  <wp:effectExtent l="0" t="0" r="3810" b="3810"/>
                  <wp:docPr id="9" name="Graphic 8" descr="Warning with solid fill">
                    <a:extLst xmlns:a="http://schemas.openxmlformats.org/drawingml/2006/main">
                      <a:ext uri="{FF2B5EF4-FFF2-40B4-BE49-F238E27FC236}">
                        <a16:creationId xmlns:a16="http://schemas.microsoft.com/office/drawing/2014/main" id="{77B3D190-D0C2-9618-445D-1F0324986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Warning with solid fill">
                            <a:extLst>
                              <a:ext uri="{FF2B5EF4-FFF2-40B4-BE49-F238E27FC236}">
                                <a16:creationId xmlns:a16="http://schemas.microsoft.com/office/drawing/2014/main" id="{77B3D190-D0C2-9618-445D-1F032498653E}"/>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inline>
              </w:drawing>
            </w:r>
          </w:p>
          <w:p w14:paraId="00000142" w14:textId="29D4C859"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color w:val="000000"/>
              </w:rPr>
              <w:t>Partial</w:t>
            </w:r>
          </w:p>
        </w:tc>
        <w:tc>
          <w:tcPr>
            <w:tcW w:w="1603" w:type="dxa"/>
            <w:tcBorders>
              <w:top w:val="single" w:sz="4" w:space="0" w:color="000000"/>
              <w:left w:val="single" w:sz="4" w:space="0" w:color="000000"/>
            </w:tcBorders>
          </w:tcPr>
          <w:p w14:paraId="69090781"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00C38566" wp14:editId="67E14AFB">
                  <wp:extent cx="320040" cy="320040"/>
                  <wp:effectExtent l="0" t="0" r="3810" b="3810"/>
                  <wp:docPr id="10"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00000143" w14:textId="22491721"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608" w:type="dxa"/>
            <w:tcBorders>
              <w:top w:val="single" w:sz="4" w:space="0" w:color="000000"/>
              <w:left w:val="single" w:sz="4" w:space="0" w:color="000000"/>
            </w:tcBorders>
          </w:tcPr>
          <w:p w14:paraId="1CE1A708"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3AD32493" wp14:editId="512F0174">
                  <wp:extent cx="320040" cy="320040"/>
                  <wp:effectExtent l="0" t="0" r="3810" b="3810"/>
                  <wp:docPr id="2014904885"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00000144" w14:textId="1A71DAC0"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877" w:type="dxa"/>
            <w:tcBorders>
              <w:top w:val="single" w:sz="4" w:space="0" w:color="000000"/>
              <w:left w:val="single" w:sz="4" w:space="0" w:color="000000"/>
              <w:right w:val="single" w:sz="4" w:space="0" w:color="000000"/>
            </w:tcBorders>
          </w:tcPr>
          <w:p w14:paraId="5C3E84B8" w14:textId="66593F78" w:rsidR="00E05DE3" w:rsidRPr="00E05DE3" w:rsidRDefault="00E05DE3" w:rsidP="00E05DE3">
            <w:pPr>
              <w:widowControl w:val="0"/>
              <w:pBdr>
                <w:top w:val="nil"/>
                <w:left w:val="nil"/>
                <w:bottom w:val="nil"/>
                <w:right w:val="nil"/>
                <w:between w:val="nil"/>
              </w:pBdr>
              <w:spacing w:before="120" w:after="120" w:line="360" w:lineRule="auto"/>
              <w:jc w:val="center"/>
              <w:rPr>
                <w:rFonts w:eastAsia="Arial"/>
                <w:lang w:val="en-CA"/>
              </w:rPr>
            </w:pPr>
            <w:r w:rsidRPr="00E05DE3">
              <w:rPr>
                <w:rFonts w:eastAsia="Arial"/>
                <w:lang w:val="en-CA"/>
              </w:rPr>
              <w:t>No DR coverage</w:t>
            </w:r>
          </w:p>
          <w:p w14:paraId="5999289B" w14:textId="0E6B0F15" w:rsidR="00E05DE3" w:rsidRPr="00E05DE3" w:rsidRDefault="006B413A" w:rsidP="00E05DE3">
            <w:pPr>
              <w:widowControl w:val="0"/>
              <w:pBdr>
                <w:top w:val="nil"/>
                <w:left w:val="nil"/>
                <w:bottom w:val="nil"/>
                <w:right w:val="nil"/>
                <w:between w:val="nil"/>
              </w:pBdr>
              <w:spacing w:before="120" w:after="120" w:line="360" w:lineRule="auto"/>
              <w:jc w:val="center"/>
              <w:rPr>
                <w:rFonts w:eastAsia="Arial"/>
                <w:lang w:val="en-CA"/>
              </w:rPr>
            </w:pPr>
            <w:r w:rsidRPr="006B413A">
              <w:rPr>
                <w:rFonts w:eastAsia="Arial"/>
                <w:lang w:val="en-CA"/>
              </w:rPr>
              <w:t>Limited by national social insurance coverage</w:t>
            </w:r>
          </w:p>
          <w:p w14:paraId="00000145" w14:textId="5576FDFE" w:rsidR="00E05DE3" w:rsidRPr="00E300D7" w:rsidRDefault="00BE3FF4" w:rsidP="00E05DE3">
            <w:pPr>
              <w:widowControl w:val="0"/>
              <w:pBdr>
                <w:top w:val="nil"/>
                <w:left w:val="nil"/>
                <w:bottom w:val="nil"/>
                <w:right w:val="nil"/>
                <w:between w:val="nil"/>
              </w:pBdr>
              <w:spacing w:before="120" w:after="120" w:line="360" w:lineRule="auto"/>
              <w:jc w:val="center"/>
              <w:rPr>
                <w:rFonts w:eastAsia="Arial"/>
                <w:color w:val="000000"/>
              </w:rPr>
            </w:pPr>
            <w:r w:rsidRPr="00BE3FF4">
              <w:rPr>
                <w:rFonts w:eastAsia="Arial"/>
                <w:lang w:val="en-CA"/>
              </w:rPr>
              <w:t>Anti-VEGF use is limited to a subset of clinics and AMD only</w:t>
            </w:r>
          </w:p>
        </w:tc>
      </w:tr>
      <w:tr w:rsidR="00E05DE3" w:rsidRPr="00E300D7" w14:paraId="55BA82CA" w14:textId="77777777" w:rsidTr="009F121D">
        <w:trPr>
          <w:cantSplit/>
          <w:trHeight w:val="986"/>
          <w:jc w:val="center"/>
        </w:trPr>
        <w:tc>
          <w:tcPr>
            <w:tcW w:w="1902" w:type="dxa"/>
            <w:tcBorders>
              <w:top w:val="single" w:sz="4" w:space="0" w:color="000000"/>
              <w:left w:val="single" w:sz="4" w:space="0" w:color="000000"/>
            </w:tcBorders>
          </w:tcPr>
          <w:p w14:paraId="08DAEE1A"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0CB5F8AE" wp14:editId="3C11DE76">
                  <wp:extent cx="468000" cy="468000"/>
                  <wp:effectExtent l="0" t="0" r="8255" b="0"/>
                  <wp:docPr id="25" name="Picture 24">
                    <a:extLst xmlns:a="http://schemas.openxmlformats.org/drawingml/2006/main">
                      <a:ext uri="{FF2B5EF4-FFF2-40B4-BE49-F238E27FC236}">
                        <a16:creationId xmlns:a16="http://schemas.microsoft.com/office/drawing/2014/main" id="{4F032C75-5224-645E-2EEA-325F11E05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4F032C75-5224-645E-2EEA-325F11E055A7}"/>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468000" cy="468000"/>
                          </a:xfrm>
                          <a:prstGeom prst="rect">
                            <a:avLst/>
                          </a:prstGeom>
                        </pic:spPr>
                      </pic:pic>
                    </a:graphicData>
                  </a:graphic>
                </wp:inline>
              </w:drawing>
            </w:r>
          </w:p>
          <w:p w14:paraId="0000014C" w14:textId="1FFBD394"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POLAND</w:t>
            </w:r>
          </w:p>
        </w:tc>
        <w:tc>
          <w:tcPr>
            <w:tcW w:w="1603" w:type="dxa"/>
            <w:tcBorders>
              <w:top w:val="single" w:sz="4" w:space="0" w:color="000000"/>
              <w:left w:val="single" w:sz="4" w:space="0" w:color="000000"/>
            </w:tcBorders>
          </w:tcPr>
          <w:p w14:paraId="7BC11763"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75A1665A" wp14:editId="4BE07518">
                  <wp:extent cx="320040" cy="320040"/>
                  <wp:effectExtent l="0" t="0" r="3810" b="3810"/>
                  <wp:docPr id="459485498" name="Graphic 8" descr="Warning with solid fill">
                    <a:extLst xmlns:a="http://schemas.openxmlformats.org/drawingml/2006/main">
                      <a:ext uri="{FF2B5EF4-FFF2-40B4-BE49-F238E27FC236}">
                        <a16:creationId xmlns:a16="http://schemas.microsoft.com/office/drawing/2014/main" id="{77B3D190-D0C2-9618-445D-1F0324986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Warning with solid fill">
                            <a:extLst>
                              <a:ext uri="{FF2B5EF4-FFF2-40B4-BE49-F238E27FC236}">
                                <a16:creationId xmlns:a16="http://schemas.microsoft.com/office/drawing/2014/main" id="{77B3D190-D0C2-9618-445D-1F032498653E}"/>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inline>
              </w:drawing>
            </w:r>
          </w:p>
          <w:p w14:paraId="0000014D" w14:textId="39AB246E"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Screening only</w:t>
            </w:r>
          </w:p>
        </w:tc>
        <w:tc>
          <w:tcPr>
            <w:tcW w:w="1608" w:type="dxa"/>
            <w:tcBorders>
              <w:top w:val="single" w:sz="4" w:space="0" w:color="000000"/>
              <w:left w:val="single" w:sz="4" w:space="0" w:color="000000"/>
            </w:tcBorders>
          </w:tcPr>
          <w:p w14:paraId="0000014E" w14:textId="753D0B46"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41E6773D" wp14:editId="41792DE9">
                  <wp:extent cx="504000" cy="504000"/>
                  <wp:effectExtent l="0" t="0" r="0" b="0"/>
                  <wp:docPr id="936634602"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tc>
        <w:tc>
          <w:tcPr>
            <w:tcW w:w="1603" w:type="dxa"/>
            <w:tcBorders>
              <w:top w:val="single" w:sz="4" w:space="0" w:color="000000"/>
              <w:left w:val="single" w:sz="4" w:space="0" w:color="000000"/>
            </w:tcBorders>
          </w:tcPr>
          <w:p w14:paraId="60E319CF"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64F4FA97" wp14:editId="253E5517">
                  <wp:extent cx="320040" cy="320040"/>
                  <wp:effectExtent l="0" t="0" r="3810" b="3810"/>
                  <wp:docPr id="323391052" name="Graphic 8" descr="Warning with solid fill">
                    <a:extLst xmlns:a="http://schemas.openxmlformats.org/drawingml/2006/main">
                      <a:ext uri="{FF2B5EF4-FFF2-40B4-BE49-F238E27FC236}">
                        <a16:creationId xmlns:a16="http://schemas.microsoft.com/office/drawing/2014/main" id="{77B3D190-D0C2-9618-445D-1F0324986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Warning with solid fill">
                            <a:extLst>
                              <a:ext uri="{FF2B5EF4-FFF2-40B4-BE49-F238E27FC236}">
                                <a16:creationId xmlns:a16="http://schemas.microsoft.com/office/drawing/2014/main" id="{77B3D190-D0C2-9618-445D-1F032498653E}"/>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inline>
              </w:drawing>
            </w:r>
          </w:p>
          <w:p w14:paraId="0000014F" w14:textId="0362160F"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Limited</w:t>
            </w:r>
          </w:p>
        </w:tc>
        <w:tc>
          <w:tcPr>
            <w:tcW w:w="1608" w:type="dxa"/>
            <w:tcBorders>
              <w:top w:val="single" w:sz="4" w:space="0" w:color="000000"/>
              <w:left w:val="single" w:sz="4" w:space="0" w:color="000000"/>
            </w:tcBorders>
          </w:tcPr>
          <w:p w14:paraId="03FA8264"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1EAAC359" wp14:editId="1814F351">
                  <wp:extent cx="320040" cy="320040"/>
                  <wp:effectExtent l="0" t="0" r="3810" b="3810"/>
                  <wp:docPr id="111407492" name="Graphic 8" descr="Warning with solid fill">
                    <a:extLst xmlns:a="http://schemas.openxmlformats.org/drawingml/2006/main">
                      <a:ext uri="{FF2B5EF4-FFF2-40B4-BE49-F238E27FC236}">
                        <a16:creationId xmlns:a16="http://schemas.microsoft.com/office/drawing/2014/main" id="{77B3D190-D0C2-9618-445D-1F0324986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Warning with solid fill">
                            <a:extLst>
                              <a:ext uri="{FF2B5EF4-FFF2-40B4-BE49-F238E27FC236}">
                                <a16:creationId xmlns:a16="http://schemas.microsoft.com/office/drawing/2014/main" id="{77B3D190-D0C2-9618-445D-1F032498653E}"/>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inline>
              </w:drawing>
            </w:r>
          </w:p>
          <w:p w14:paraId="00000150" w14:textId="3050E98D"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Irregular</w:t>
            </w:r>
            <w:r w:rsidR="00E72EA0">
              <w:rPr>
                <w:rFonts w:eastAsia="Arial"/>
                <w:color w:val="000000"/>
              </w:rPr>
              <w:t xml:space="preserve">, </w:t>
            </w:r>
            <w:r w:rsidRPr="00E300D7">
              <w:rPr>
                <w:rFonts w:eastAsia="Arial"/>
                <w:color w:val="000000"/>
              </w:rPr>
              <w:t>uneven</w:t>
            </w:r>
            <w:r w:rsidR="00E72EA0">
              <w:rPr>
                <w:rFonts w:eastAsia="Arial"/>
                <w:color w:val="000000"/>
              </w:rPr>
              <w:t xml:space="preserve"> and long wait times</w:t>
            </w:r>
          </w:p>
        </w:tc>
        <w:tc>
          <w:tcPr>
            <w:tcW w:w="1877" w:type="dxa"/>
            <w:tcBorders>
              <w:top w:val="single" w:sz="4" w:space="0" w:color="000000"/>
              <w:left w:val="single" w:sz="4" w:space="0" w:color="000000"/>
              <w:right w:val="single" w:sz="4" w:space="0" w:color="000000"/>
            </w:tcBorders>
          </w:tcPr>
          <w:p w14:paraId="40976498" w14:textId="77777777" w:rsidR="00143B5E" w:rsidRDefault="00E72EA0" w:rsidP="00E05DE3">
            <w:pPr>
              <w:widowControl w:val="0"/>
              <w:pBdr>
                <w:top w:val="nil"/>
                <w:left w:val="nil"/>
                <w:bottom w:val="nil"/>
                <w:right w:val="nil"/>
                <w:between w:val="nil"/>
              </w:pBdr>
              <w:spacing w:before="120" w:after="120" w:line="360" w:lineRule="auto"/>
              <w:jc w:val="center"/>
              <w:rPr>
                <w:rFonts w:eastAsia="Arial"/>
                <w:color w:val="000000"/>
              </w:rPr>
            </w:pPr>
            <w:r w:rsidRPr="00E72EA0">
              <w:rPr>
                <w:rFonts w:eastAsia="Arial"/>
                <w:color w:val="000000"/>
              </w:rPr>
              <w:t>Uneven specialist density in various regions</w:t>
            </w:r>
          </w:p>
          <w:p w14:paraId="00000151" w14:textId="36ADB221" w:rsidR="00E05DE3" w:rsidRPr="00E300D7" w:rsidRDefault="00E72EA0" w:rsidP="00E05DE3">
            <w:pPr>
              <w:widowControl w:val="0"/>
              <w:pBdr>
                <w:top w:val="nil"/>
                <w:left w:val="nil"/>
                <w:bottom w:val="nil"/>
                <w:right w:val="nil"/>
                <w:between w:val="nil"/>
              </w:pBdr>
              <w:spacing w:before="120" w:after="120" w:line="360" w:lineRule="auto"/>
              <w:jc w:val="center"/>
              <w:rPr>
                <w:rFonts w:eastAsia="Arial"/>
                <w:color w:val="000000"/>
              </w:rPr>
            </w:pPr>
            <w:r w:rsidRPr="00E72EA0">
              <w:rPr>
                <w:rFonts w:eastAsia="Arial"/>
                <w:color w:val="000000"/>
              </w:rPr>
              <w:t>Regional disparities (particularly for anti-VEGF therapy)</w:t>
            </w:r>
          </w:p>
        </w:tc>
      </w:tr>
      <w:tr w:rsidR="00E05DE3" w:rsidRPr="00E300D7" w14:paraId="6F387458" w14:textId="77777777" w:rsidTr="009F121D">
        <w:trPr>
          <w:cantSplit/>
          <w:trHeight w:val="905"/>
          <w:jc w:val="center"/>
        </w:trPr>
        <w:tc>
          <w:tcPr>
            <w:tcW w:w="1902" w:type="dxa"/>
            <w:tcBorders>
              <w:top w:val="single" w:sz="4" w:space="0" w:color="000000"/>
              <w:left w:val="single" w:sz="4" w:space="0" w:color="000000"/>
            </w:tcBorders>
          </w:tcPr>
          <w:p w14:paraId="7E62ECD5"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7D1592AF" wp14:editId="3FA93744">
                  <wp:extent cx="504000" cy="504000"/>
                  <wp:effectExtent l="0" t="0" r="0" b="0"/>
                  <wp:docPr id="1434095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95801" name=""/>
                          <pic:cNvPicPr/>
                        </pic:nvPicPr>
                        <pic:blipFill>
                          <a:blip r:embed="rId25"/>
                          <a:stretch>
                            <a:fillRect/>
                          </a:stretch>
                        </pic:blipFill>
                        <pic:spPr>
                          <a:xfrm>
                            <a:off x="0" y="0"/>
                            <a:ext cx="504000" cy="504000"/>
                          </a:xfrm>
                          <a:prstGeom prst="rect">
                            <a:avLst/>
                          </a:prstGeom>
                        </pic:spPr>
                      </pic:pic>
                    </a:graphicData>
                  </a:graphic>
                </wp:inline>
              </w:drawing>
            </w:r>
          </w:p>
          <w:p w14:paraId="00000152" w14:textId="19A198F2"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ROMANIA</w:t>
            </w:r>
          </w:p>
        </w:tc>
        <w:tc>
          <w:tcPr>
            <w:tcW w:w="1603" w:type="dxa"/>
            <w:tcBorders>
              <w:top w:val="single" w:sz="4" w:space="0" w:color="000000"/>
              <w:left w:val="single" w:sz="4" w:space="0" w:color="000000"/>
            </w:tcBorders>
          </w:tcPr>
          <w:p w14:paraId="00000153" w14:textId="4D4E9B61"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5BABB4A0" wp14:editId="653D368A">
                  <wp:extent cx="417272" cy="417272"/>
                  <wp:effectExtent l="0" t="0" r="0" b="1905"/>
                  <wp:docPr id="26"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8" w:type="dxa"/>
            <w:tcBorders>
              <w:top w:val="single" w:sz="4" w:space="0" w:color="000000"/>
              <w:left w:val="single" w:sz="4" w:space="0" w:color="000000"/>
            </w:tcBorders>
          </w:tcPr>
          <w:p w14:paraId="00000154" w14:textId="6A45FCE2"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1A0357B9" wp14:editId="0D492416">
                  <wp:extent cx="417272" cy="417272"/>
                  <wp:effectExtent l="0" t="0" r="0" b="1905"/>
                  <wp:docPr id="827135916"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3" w:type="dxa"/>
            <w:tcBorders>
              <w:top w:val="single" w:sz="4" w:space="0" w:color="000000"/>
              <w:left w:val="single" w:sz="4" w:space="0" w:color="000000"/>
            </w:tcBorders>
          </w:tcPr>
          <w:p w14:paraId="17A78CD7"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6089D66B" wp14:editId="22F3A38F">
                  <wp:extent cx="417272" cy="417272"/>
                  <wp:effectExtent l="0" t="0" r="0" b="1905"/>
                  <wp:docPr id="849176967"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p w14:paraId="00000155" w14:textId="11D2D6DF"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Very low</w:t>
            </w:r>
          </w:p>
        </w:tc>
        <w:tc>
          <w:tcPr>
            <w:tcW w:w="1608" w:type="dxa"/>
            <w:tcBorders>
              <w:top w:val="single" w:sz="4" w:space="0" w:color="000000"/>
              <w:left w:val="single" w:sz="4" w:space="0" w:color="000000"/>
            </w:tcBorders>
          </w:tcPr>
          <w:p w14:paraId="7901D19D"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2C869541" wp14:editId="42189DB4">
                  <wp:extent cx="417272" cy="417272"/>
                  <wp:effectExtent l="0" t="0" r="0" b="1905"/>
                  <wp:docPr id="55202820"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p w14:paraId="00000156" w14:textId="55D376EF"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Low</w:t>
            </w:r>
          </w:p>
        </w:tc>
        <w:tc>
          <w:tcPr>
            <w:tcW w:w="1877" w:type="dxa"/>
            <w:tcBorders>
              <w:top w:val="single" w:sz="4" w:space="0" w:color="000000"/>
              <w:left w:val="single" w:sz="4" w:space="0" w:color="000000"/>
              <w:right w:val="single" w:sz="4" w:space="0" w:color="000000"/>
            </w:tcBorders>
          </w:tcPr>
          <w:p w14:paraId="4566D9FB"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Major rural care gaps</w:t>
            </w:r>
          </w:p>
          <w:p w14:paraId="1706309F" w14:textId="7387B114" w:rsidR="00F447AD" w:rsidRDefault="00F447AD"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Long referral times</w:t>
            </w:r>
          </w:p>
          <w:p w14:paraId="3DCC59B5" w14:textId="6AD1F40B" w:rsidR="00F447AD" w:rsidRPr="00E300D7" w:rsidRDefault="00F447AD"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 xml:space="preserve">Specialist shortages </w:t>
            </w:r>
          </w:p>
          <w:p w14:paraId="00000157" w14:textId="35B939D8" w:rsidR="00E05DE3" w:rsidRPr="00E300D7" w:rsidRDefault="00E05DE3" w:rsidP="00E05DE3">
            <w:pPr>
              <w:widowControl w:val="0"/>
              <w:pBdr>
                <w:top w:val="nil"/>
                <w:left w:val="nil"/>
                <w:bottom w:val="nil"/>
                <w:right w:val="nil"/>
                <w:between w:val="nil"/>
              </w:pBdr>
              <w:spacing w:before="120" w:after="120" w:line="360" w:lineRule="auto"/>
              <w:rPr>
                <w:rFonts w:eastAsia="Arial"/>
                <w:color w:val="000000"/>
              </w:rPr>
            </w:pPr>
          </w:p>
        </w:tc>
      </w:tr>
      <w:tr w:rsidR="00E05DE3" w:rsidRPr="00E300D7" w14:paraId="56279EBD"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4EF39D7A"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11F09ACD" wp14:editId="566F5482">
                  <wp:extent cx="504000" cy="504000"/>
                  <wp:effectExtent l="0" t="0" r="0" b="0"/>
                  <wp:docPr id="1560414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14074" name=""/>
                          <pic:cNvPicPr/>
                        </pic:nvPicPr>
                        <pic:blipFill>
                          <a:blip r:embed="rId28"/>
                          <a:stretch>
                            <a:fillRect/>
                          </a:stretch>
                        </pic:blipFill>
                        <pic:spPr>
                          <a:xfrm>
                            <a:off x="0" y="0"/>
                            <a:ext cx="504000" cy="504000"/>
                          </a:xfrm>
                          <a:prstGeom prst="rect">
                            <a:avLst/>
                          </a:prstGeom>
                        </pic:spPr>
                      </pic:pic>
                    </a:graphicData>
                  </a:graphic>
                </wp:inline>
              </w:drawing>
            </w:r>
          </w:p>
          <w:p w14:paraId="00000158" w14:textId="19599674"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BULGARIA</w:t>
            </w:r>
          </w:p>
        </w:tc>
        <w:tc>
          <w:tcPr>
            <w:tcW w:w="1603" w:type="dxa"/>
            <w:tcBorders>
              <w:top w:val="single" w:sz="4" w:space="0" w:color="000000"/>
              <w:left w:val="single" w:sz="4" w:space="0" w:color="000000"/>
              <w:bottom w:val="single" w:sz="4" w:space="0" w:color="000000"/>
            </w:tcBorders>
          </w:tcPr>
          <w:p w14:paraId="00000159" w14:textId="7C469971"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3B796FCC" wp14:editId="3CC2C6BE">
                  <wp:extent cx="417272" cy="417272"/>
                  <wp:effectExtent l="0" t="0" r="0" b="1905"/>
                  <wp:docPr id="481413085"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8" w:type="dxa"/>
            <w:tcBorders>
              <w:top w:val="single" w:sz="4" w:space="0" w:color="000000"/>
              <w:left w:val="single" w:sz="4" w:space="0" w:color="000000"/>
              <w:bottom w:val="single" w:sz="4" w:space="0" w:color="000000"/>
            </w:tcBorders>
          </w:tcPr>
          <w:p w14:paraId="0000015A" w14:textId="549DE54B"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4872636F" wp14:editId="675D7675">
                  <wp:extent cx="417272" cy="417272"/>
                  <wp:effectExtent l="0" t="0" r="0" b="1905"/>
                  <wp:docPr id="737673603"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tcBorders>
          </w:tcPr>
          <w:p w14:paraId="2EAA2E0A"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2ADA3E39" wp14:editId="1191EAC6">
                  <wp:extent cx="320040" cy="320040"/>
                  <wp:effectExtent l="0" t="0" r="3810" b="3810"/>
                  <wp:docPr id="1984228357"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0000015B" w14:textId="51B51457"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608" w:type="dxa"/>
            <w:tcBorders>
              <w:top w:val="single" w:sz="4" w:space="0" w:color="000000"/>
              <w:left w:val="single" w:sz="4" w:space="0" w:color="000000"/>
              <w:bottom w:val="single" w:sz="4" w:space="0" w:color="000000"/>
            </w:tcBorders>
          </w:tcPr>
          <w:p w14:paraId="60D64E77" w14:textId="6DF14FE2" w:rsidR="00E05DE3" w:rsidRDefault="004475D2"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5D927893" wp14:editId="572899C2">
                  <wp:extent cx="320040" cy="320040"/>
                  <wp:effectExtent l="0" t="0" r="3810" b="3810"/>
                  <wp:docPr id="432817026"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0000015C" w14:textId="027C6F03" w:rsidR="00F86337" w:rsidRPr="00E300D7" w:rsidRDefault="004475D2" w:rsidP="004475D2">
            <w:pPr>
              <w:widowControl w:val="0"/>
              <w:pBdr>
                <w:top w:val="nil"/>
                <w:left w:val="nil"/>
                <w:bottom w:val="nil"/>
                <w:right w:val="nil"/>
                <w:between w:val="nil"/>
              </w:pBdr>
              <w:spacing w:before="120" w:after="120" w:line="360" w:lineRule="auto"/>
              <w:rPr>
                <w:rFonts w:eastAsia="Arial"/>
                <w:color w:val="000000"/>
              </w:rPr>
            </w:pPr>
            <w:r>
              <w:rPr>
                <w:rFonts w:eastAsia="Arial"/>
                <w:color w:val="000000"/>
              </w:rPr>
              <w:t xml:space="preserve">       </w:t>
            </w:r>
            <w:r w:rsidR="00F86337" w:rsidRPr="00E300D7">
              <w:rPr>
                <w:rFonts w:eastAsia="Arial"/>
                <w:color w:val="000000"/>
              </w:rPr>
              <w:t>Moderate</w:t>
            </w:r>
          </w:p>
        </w:tc>
        <w:tc>
          <w:tcPr>
            <w:tcW w:w="1877" w:type="dxa"/>
            <w:tcBorders>
              <w:top w:val="single" w:sz="4" w:space="0" w:color="000000"/>
              <w:left w:val="single" w:sz="4" w:space="0" w:color="000000"/>
              <w:bottom w:val="single" w:sz="4" w:space="0" w:color="000000"/>
              <w:right w:val="single" w:sz="4" w:space="0" w:color="000000"/>
            </w:tcBorders>
          </w:tcPr>
          <w:p w14:paraId="0000015D" w14:textId="7C251374" w:rsidR="005D3B50" w:rsidRPr="00E300D7" w:rsidRDefault="004E093D" w:rsidP="005D3B50">
            <w:pPr>
              <w:widowControl w:val="0"/>
              <w:pBdr>
                <w:top w:val="nil"/>
                <w:left w:val="nil"/>
                <w:bottom w:val="nil"/>
                <w:right w:val="nil"/>
                <w:between w:val="nil"/>
              </w:pBdr>
              <w:spacing w:before="120" w:after="120" w:line="360" w:lineRule="auto"/>
              <w:jc w:val="center"/>
              <w:rPr>
                <w:rFonts w:eastAsia="Arial"/>
                <w:color w:val="000000"/>
              </w:rPr>
            </w:pPr>
            <w:r>
              <w:rPr>
                <w:color w:val="000000"/>
              </w:rPr>
              <w:t xml:space="preserve">Diagnosis and treatment application </w:t>
            </w:r>
            <w:r w:rsidR="005D3B50" w:rsidRPr="005D3B50">
              <w:rPr>
                <w:rFonts w:eastAsia="Arial"/>
                <w:color w:val="000000"/>
              </w:rPr>
              <w:t>require out-of-pocket payments by patients</w:t>
            </w:r>
          </w:p>
        </w:tc>
      </w:tr>
      <w:tr w:rsidR="00E05DE3" w:rsidRPr="00E300D7" w14:paraId="0B595EB1"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7D84B0A9"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lastRenderedPageBreak/>
              <w:drawing>
                <wp:inline distT="0" distB="0" distL="0" distR="0" wp14:anchorId="7BA85484" wp14:editId="03BF3F59">
                  <wp:extent cx="504000" cy="504000"/>
                  <wp:effectExtent l="0" t="0" r="0" b="0"/>
                  <wp:docPr id="177058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83496" name=""/>
                          <pic:cNvPicPr/>
                        </pic:nvPicPr>
                        <pic:blipFill>
                          <a:blip r:embed="rId29"/>
                          <a:stretch>
                            <a:fillRect/>
                          </a:stretch>
                        </pic:blipFill>
                        <pic:spPr>
                          <a:xfrm>
                            <a:off x="0" y="0"/>
                            <a:ext cx="504000" cy="504000"/>
                          </a:xfrm>
                          <a:prstGeom prst="rect">
                            <a:avLst/>
                          </a:prstGeom>
                        </pic:spPr>
                      </pic:pic>
                    </a:graphicData>
                  </a:graphic>
                </wp:inline>
              </w:drawing>
            </w:r>
          </w:p>
          <w:p w14:paraId="49697AF2" w14:textId="64FC5B43"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CROATIA</w:t>
            </w:r>
          </w:p>
        </w:tc>
        <w:tc>
          <w:tcPr>
            <w:tcW w:w="1603" w:type="dxa"/>
            <w:tcBorders>
              <w:top w:val="single" w:sz="4" w:space="0" w:color="000000"/>
              <w:left w:val="single" w:sz="4" w:space="0" w:color="000000"/>
              <w:bottom w:val="single" w:sz="4" w:space="0" w:color="000000"/>
            </w:tcBorders>
          </w:tcPr>
          <w:p w14:paraId="6E9E6676" w14:textId="731024F9"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4D6765B5" wp14:editId="12B5B755">
                  <wp:extent cx="417272" cy="417272"/>
                  <wp:effectExtent l="0" t="0" r="0" b="1905"/>
                  <wp:docPr id="900467308"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8" w:type="dxa"/>
            <w:tcBorders>
              <w:top w:val="single" w:sz="4" w:space="0" w:color="000000"/>
              <w:left w:val="single" w:sz="4" w:space="0" w:color="000000"/>
              <w:bottom w:val="single" w:sz="4" w:space="0" w:color="000000"/>
            </w:tcBorders>
          </w:tcPr>
          <w:p w14:paraId="4DCDA0D2" w14:textId="1F9407A2"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0CF5930B" wp14:editId="4416C185">
                  <wp:extent cx="504000" cy="504000"/>
                  <wp:effectExtent l="0" t="0" r="0" b="0"/>
                  <wp:docPr id="1734502802"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tcBorders>
          </w:tcPr>
          <w:p w14:paraId="16EBCB5A"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5EC3E7A6" wp14:editId="1C9AA9CB">
                  <wp:extent cx="320040" cy="320040"/>
                  <wp:effectExtent l="0" t="0" r="3810" b="3810"/>
                  <wp:docPr id="1801211763"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649F7E1D" w14:textId="6EE4E8CD"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608" w:type="dxa"/>
            <w:tcBorders>
              <w:top w:val="single" w:sz="4" w:space="0" w:color="000000"/>
              <w:left w:val="single" w:sz="4" w:space="0" w:color="000000"/>
              <w:bottom w:val="single" w:sz="4" w:space="0" w:color="000000"/>
            </w:tcBorders>
          </w:tcPr>
          <w:p w14:paraId="55B618F8" w14:textId="1BD52D26"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5C31C9F8" wp14:editId="7D1E0DA6">
                  <wp:extent cx="504000" cy="504000"/>
                  <wp:effectExtent l="0" t="0" r="0" b="0"/>
                  <wp:docPr id="776203815"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tc>
        <w:tc>
          <w:tcPr>
            <w:tcW w:w="1877" w:type="dxa"/>
            <w:tcBorders>
              <w:top w:val="single" w:sz="4" w:space="0" w:color="000000"/>
              <w:left w:val="single" w:sz="4" w:space="0" w:color="000000"/>
              <w:bottom w:val="single" w:sz="4" w:space="0" w:color="000000"/>
              <w:right w:val="single" w:sz="4" w:space="0" w:color="000000"/>
            </w:tcBorders>
          </w:tcPr>
          <w:p w14:paraId="45E8B44A" w14:textId="37A712B7"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Regional disparities</w:t>
            </w:r>
          </w:p>
        </w:tc>
      </w:tr>
      <w:tr w:rsidR="00E05DE3" w:rsidRPr="00E300D7" w14:paraId="65450300"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68AD2CF4"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33EB38B0" wp14:editId="61EA7B12">
                  <wp:extent cx="504000" cy="504000"/>
                  <wp:effectExtent l="0" t="0" r="0" b="0"/>
                  <wp:docPr id="101919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94535" name=""/>
                          <pic:cNvPicPr/>
                        </pic:nvPicPr>
                        <pic:blipFill>
                          <a:blip r:embed="rId30"/>
                          <a:stretch>
                            <a:fillRect/>
                          </a:stretch>
                        </pic:blipFill>
                        <pic:spPr>
                          <a:xfrm>
                            <a:off x="0" y="0"/>
                            <a:ext cx="504000" cy="504000"/>
                          </a:xfrm>
                          <a:prstGeom prst="rect">
                            <a:avLst/>
                          </a:prstGeom>
                        </pic:spPr>
                      </pic:pic>
                    </a:graphicData>
                  </a:graphic>
                </wp:inline>
              </w:drawing>
            </w:r>
          </w:p>
          <w:p w14:paraId="6DD4ED99" w14:textId="590A40CD"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ESTONIA</w:t>
            </w:r>
          </w:p>
        </w:tc>
        <w:tc>
          <w:tcPr>
            <w:tcW w:w="1603" w:type="dxa"/>
            <w:tcBorders>
              <w:top w:val="single" w:sz="4" w:space="0" w:color="000000"/>
              <w:left w:val="single" w:sz="4" w:space="0" w:color="000000"/>
              <w:bottom w:val="single" w:sz="4" w:space="0" w:color="000000"/>
            </w:tcBorders>
          </w:tcPr>
          <w:p w14:paraId="05C29841"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5D833A19" wp14:editId="0E58B15E">
                  <wp:extent cx="504000" cy="504000"/>
                  <wp:effectExtent l="0" t="0" r="0" b="0"/>
                  <wp:docPr id="1476336511"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p w14:paraId="1CABE7EB" w14:textId="15579F34"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P</w:t>
            </w:r>
            <w:r w:rsidRPr="00413EA6">
              <w:rPr>
                <w:rFonts w:eastAsia="Arial"/>
                <w:color w:val="000000"/>
              </w:rPr>
              <w:t>reventive check-ups every 1–2 years</w:t>
            </w:r>
          </w:p>
        </w:tc>
        <w:tc>
          <w:tcPr>
            <w:tcW w:w="1608" w:type="dxa"/>
            <w:tcBorders>
              <w:top w:val="single" w:sz="4" w:space="0" w:color="000000"/>
              <w:left w:val="single" w:sz="4" w:space="0" w:color="000000"/>
              <w:bottom w:val="single" w:sz="4" w:space="0" w:color="000000"/>
            </w:tcBorders>
          </w:tcPr>
          <w:p w14:paraId="3D5E8EC5"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310806FA" wp14:editId="1C00657C">
                  <wp:extent cx="320040" cy="320040"/>
                  <wp:effectExtent l="0" t="0" r="3810" b="3810"/>
                  <wp:docPr id="210286510"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09ECD40D" w14:textId="6F97E3B8"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Partial</w:t>
            </w:r>
          </w:p>
        </w:tc>
        <w:tc>
          <w:tcPr>
            <w:tcW w:w="1603" w:type="dxa"/>
            <w:tcBorders>
              <w:top w:val="single" w:sz="4" w:space="0" w:color="000000"/>
              <w:left w:val="single" w:sz="4" w:space="0" w:color="000000"/>
              <w:bottom w:val="single" w:sz="4" w:space="0" w:color="000000"/>
            </w:tcBorders>
          </w:tcPr>
          <w:p w14:paraId="0D7BBEC1"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424578C6" wp14:editId="7E3709AF">
                  <wp:extent cx="504000" cy="504000"/>
                  <wp:effectExtent l="0" t="0" r="0" b="0"/>
                  <wp:docPr id="1400957694"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p w14:paraId="5D8FBA9B" w14:textId="2D3306E5" w:rsidR="005D2A13" w:rsidRPr="00E300D7" w:rsidRDefault="005D2A13"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 xml:space="preserve">High </w:t>
            </w:r>
          </w:p>
        </w:tc>
        <w:tc>
          <w:tcPr>
            <w:tcW w:w="1608" w:type="dxa"/>
            <w:tcBorders>
              <w:top w:val="single" w:sz="4" w:space="0" w:color="000000"/>
              <w:left w:val="single" w:sz="4" w:space="0" w:color="000000"/>
              <w:bottom w:val="single" w:sz="4" w:space="0" w:color="000000"/>
            </w:tcBorders>
          </w:tcPr>
          <w:p w14:paraId="6DF6BBE0" w14:textId="3D598301"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2E0381D9" wp14:editId="57993C6B">
                  <wp:extent cx="504000" cy="504000"/>
                  <wp:effectExtent l="0" t="0" r="0" b="0"/>
                  <wp:docPr id="778904450"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tc>
        <w:tc>
          <w:tcPr>
            <w:tcW w:w="1877" w:type="dxa"/>
            <w:tcBorders>
              <w:top w:val="single" w:sz="4" w:space="0" w:color="000000"/>
              <w:left w:val="single" w:sz="4" w:space="0" w:color="000000"/>
              <w:bottom w:val="single" w:sz="4" w:space="0" w:color="000000"/>
              <w:right w:val="single" w:sz="4" w:space="0" w:color="000000"/>
            </w:tcBorders>
          </w:tcPr>
          <w:p w14:paraId="47E2ACEA" w14:textId="3A925142" w:rsidR="00E05DE3" w:rsidRDefault="00F84654" w:rsidP="00E05DE3">
            <w:pPr>
              <w:widowControl w:val="0"/>
              <w:pBdr>
                <w:top w:val="nil"/>
                <w:left w:val="nil"/>
                <w:bottom w:val="nil"/>
                <w:right w:val="nil"/>
                <w:between w:val="nil"/>
              </w:pBdr>
              <w:spacing w:before="120" w:after="120" w:line="360" w:lineRule="auto"/>
              <w:jc w:val="center"/>
              <w:rPr>
                <w:rFonts w:eastAsia="Arial"/>
                <w:color w:val="000000"/>
              </w:rPr>
            </w:pPr>
            <w:r w:rsidRPr="00F84654">
              <w:rPr>
                <w:rFonts w:eastAsia="Arial"/>
                <w:color w:val="000000"/>
              </w:rPr>
              <w:t>No public reimbursement for any of the on-label products for nAMD, D</w:t>
            </w:r>
            <w:r w:rsidR="00CB0C82">
              <w:rPr>
                <w:rFonts w:eastAsia="Arial"/>
                <w:color w:val="000000"/>
              </w:rPr>
              <w:t>R</w:t>
            </w:r>
            <w:r w:rsidRPr="00F84654">
              <w:rPr>
                <w:rFonts w:eastAsia="Arial"/>
                <w:color w:val="000000"/>
              </w:rPr>
              <w:t xml:space="preserve"> or RVO</w:t>
            </w:r>
          </w:p>
          <w:p w14:paraId="2D926BF9" w14:textId="11BA9B9D" w:rsidR="00F50256" w:rsidRPr="00F84654" w:rsidRDefault="00F50256" w:rsidP="00E05DE3">
            <w:pPr>
              <w:widowControl w:val="0"/>
              <w:pBdr>
                <w:top w:val="nil"/>
                <w:left w:val="nil"/>
                <w:bottom w:val="nil"/>
                <w:right w:val="nil"/>
                <w:between w:val="nil"/>
              </w:pBdr>
              <w:spacing w:before="120" w:after="120" w:line="360" w:lineRule="auto"/>
              <w:jc w:val="center"/>
              <w:rPr>
                <w:rFonts w:eastAsia="Arial"/>
                <w:color w:val="000000"/>
              </w:rPr>
            </w:pPr>
            <w:r w:rsidRPr="00F50256">
              <w:rPr>
                <w:rFonts w:eastAsia="Arial"/>
                <w:color w:val="000000"/>
              </w:rPr>
              <w:t>Long waiting times for appointment due to insufficient capacity</w:t>
            </w:r>
          </w:p>
        </w:tc>
      </w:tr>
      <w:tr w:rsidR="00E05DE3" w:rsidRPr="00E300D7" w14:paraId="4A498892"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7938A3F5"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75FDF184" wp14:editId="2A2747E5">
                  <wp:extent cx="504000" cy="504000"/>
                  <wp:effectExtent l="0" t="0" r="0" b="0"/>
                  <wp:docPr id="168480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08310" name=""/>
                          <pic:cNvPicPr/>
                        </pic:nvPicPr>
                        <pic:blipFill>
                          <a:blip r:embed="rId31"/>
                          <a:stretch>
                            <a:fillRect/>
                          </a:stretch>
                        </pic:blipFill>
                        <pic:spPr>
                          <a:xfrm>
                            <a:off x="0" y="0"/>
                            <a:ext cx="504000" cy="504000"/>
                          </a:xfrm>
                          <a:prstGeom prst="rect">
                            <a:avLst/>
                          </a:prstGeom>
                        </pic:spPr>
                      </pic:pic>
                    </a:graphicData>
                  </a:graphic>
                </wp:inline>
              </w:drawing>
            </w:r>
          </w:p>
          <w:p w14:paraId="65233718" w14:textId="2D522850"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GREECE</w:t>
            </w:r>
          </w:p>
        </w:tc>
        <w:tc>
          <w:tcPr>
            <w:tcW w:w="1603" w:type="dxa"/>
            <w:tcBorders>
              <w:top w:val="single" w:sz="4" w:space="0" w:color="000000"/>
              <w:left w:val="single" w:sz="4" w:space="0" w:color="000000"/>
              <w:bottom w:val="single" w:sz="4" w:space="0" w:color="000000"/>
            </w:tcBorders>
          </w:tcPr>
          <w:p w14:paraId="2773BEA3" w14:textId="77777777" w:rsidR="00E05DE3" w:rsidRDefault="00D10104"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414FA7A4" wp14:editId="27DF0F21">
                  <wp:extent cx="417272" cy="417272"/>
                  <wp:effectExtent l="0" t="0" r="0" b="1905"/>
                  <wp:docPr id="1547574281"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p w14:paraId="1305823E" w14:textId="6B0AD4E9" w:rsidR="00442125" w:rsidRPr="00E300D7" w:rsidRDefault="00442125"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Diabetic PAGs are advocating for a national screening program</w:t>
            </w:r>
          </w:p>
        </w:tc>
        <w:tc>
          <w:tcPr>
            <w:tcW w:w="1608" w:type="dxa"/>
            <w:tcBorders>
              <w:top w:val="single" w:sz="4" w:space="0" w:color="000000"/>
              <w:left w:val="single" w:sz="4" w:space="0" w:color="000000"/>
              <w:bottom w:val="single" w:sz="4" w:space="0" w:color="000000"/>
            </w:tcBorders>
          </w:tcPr>
          <w:p w14:paraId="2717C989" w14:textId="77777777" w:rsidR="00E05DE3" w:rsidRDefault="001D160E"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761115CF" wp14:editId="087E9FF6">
                  <wp:extent cx="417272" cy="417272"/>
                  <wp:effectExtent l="0" t="0" r="0" b="1905"/>
                  <wp:docPr id="720621252"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p w14:paraId="556234ED" w14:textId="2C26004D" w:rsidR="001D160E" w:rsidRPr="00E300D7" w:rsidRDefault="00680E8A"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 xml:space="preserve">No local treatment protocols </w:t>
            </w:r>
            <w:r>
              <w:rPr>
                <w:rFonts w:eastAsia="Arial"/>
                <w:color w:val="000000"/>
              </w:rPr>
              <w:br/>
              <w:t>(follow EURETINA)</w:t>
            </w:r>
          </w:p>
        </w:tc>
        <w:tc>
          <w:tcPr>
            <w:tcW w:w="1603" w:type="dxa"/>
            <w:tcBorders>
              <w:top w:val="single" w:sz="4" w:space="0" w:color="000000"/>
              <w:left w:val="single" w:sz="4" w:space="0" w:color="000000"/>
              <w:bottom w:val="single" w:sz="4" w:space="0" w:color="000000"/>
            </w:tcBorders>
          </w:tcPr>
          <w:p w14:paraId="2D8CA2EC" w14:textId="77777777" w:rsidR="00680E8A" w:rsidRDefault="00680E8A" w:rsidP="00680E8A">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637BD043" wp14:editId="1FF194DA">
                  <wp:extent cx="504000" cy="504000"/>
                  <wp:effectExtent l="0" t="0" r="0" b="0"/>
                  <wp:docPr id="1067802721"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p w14:paraId="33954EFA" w14:textId="1DE37AC8" w:rsidR="00680E8A" w:rsidRPr="00E300D7" w:rsidRDefault="00680E8A" w:rsidP="00680E8A">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 xml:space="preserve">High </w:t>
            </w:r>
            <w:r>
              <w:rPr>
                <w:rFonts w:eastAsia="Arial"/>
                <w:color w:val="000000"/>
              </w:rPr>
              <w:br/>
              <w:t>(especially in the private setting)</w:t>
            </w:r>
          </w:p>
        </w:tc>
        <w:tc>
          <w:tcPr>
            <w:tcW w:w="1608" w:type="dxa"/>
            <w:tcBorders>
              <w:top w:val="single" w:sz="4" w:space="0" w:color="000000"/>
              <w:left w:val="single" w:sz="4" w:space="0" w:color="000000"/>
              <w:bottom w:val="single" w:sz="4" w:space="0" w:color="000000"/>
            </w:tcBorders>
          </w:tcPr>
          <w:p w14:paraId="6801195B" w14:textId="77777777" w:rsidR="00680E8A" w:rsidRDefault="00680E8A" w:rsidP="00680E8A">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683FB639" wp14:editId="6F3EA529">
                  <wp:extent cx="320040" cy="320040"/>
                  <wp:effectExtent l="0" t="0" r="3810" b="3810"/>
                  <wp:docPr id="650057059"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02038F5C" w14:textId="7C8C0DC2" w:rsidR="00680E8A" w:rsidRPr="00E300D7" w:rsidRDefault="00680E8A" w:rsidP="00680E8A">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 xml:space="preserve">Moderate </w:t>
            </w:r>
            <w:r>
              <w:rPr>
                <w:rFonts w:eastAsia="Arial"/>
                <w:color w:val="000000"/>
              </w:rPr>
              <w:br/>
              <w:t>to high</w:t>
            </w:r>
          </w:p>
        </w:tc>
        <w:tc>
          <w:tcPr>
            <w:tcW w:w="1877" w:type="dxa"/>
            <w:tcBorders>
              <w:top w:val="single" w:sz="4" w:space="0" w:color="000000"/>
              <w:left w:val="single" w:sz="4" w:space="0" w:color="000000"/>
              <w:bottom w:val="single" w:sz="4" w:space="0" w:color="000000"/>
              <w:right w:val="single" w:sz="4" w:space="0" w:color="000000"/>
            </w:tcBorders>
          </w:tcPr>
          <w:p w14:paraId="5D9F7B49" w14:textId="0AC37A61"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Major rural care gaps</w:t>
            </w:r>
          </w:p>
        </w:tc>
      </w:tr>
      <w:tr w:rsidR="00E05DE3" w:rsidRPr="00E300D7" w14:paraId="18DF0ECC"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4817A472"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lastRenderedPageBreak/>
              <w:drawing>
                <wp:inline distT="0" distB="0" distL="0" distR="0" wp14:anchorId="541683A0" wp14:editId="7EC4729A">
                  <wp:extent cx="504000" cy="504000"/>
                  <wp:effectExtent l="0" t="0" r="0" b="0"/>
                  <wp:docPr id="117499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94458" name=""/>
                          <pic:cNvPicPr/>
                        </pic:nvPicPr>
                        <pic:blipFill>
                          <a:blip r:embed="rId32"/>
                          <a:stretch>
                            <a:fillRect/>
                          </a:stretch>
                        </pic:blipFill>
                        <pic:spPr>
                          <a:xfrm>
                            <a:off x="0" y="0"/>
                            <a:ext cx="504000" cy="504000"/>
                          </a:xfrm>
                          <a:prstGeom prst="rect">
                            <a:avLst/>
                          </a:prstGeom>
                        </pic:spPr>
                      </pic:pic>
                    </a:graphicData>
                  </a:graphic>
                </wp:inline>
              </w:drawing>
            </w:r>
          </w:p>
          <w:p w14:paraId="01EB92B6" w14:textId="344280C9"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LATVIA</w:t>
            </w:r>
          </w:p>
        </w:tc>
        <w:tc>
          <w:tcPr>
            <w:tcW w:w="1603" w:type="dxa"/>
            <w:tcBorders>
              <w:top w:val="single" w:sz="4" w:space="0" w:color="000000"/>
              <w:left w:val="single" w:sz="4" w:space="0" w:color="000000"/>
              <w:bottom w:val="single" w:sz="4" w:space="0" w:color="000000"/>
            </w:tcBorders>
          </w:tcPr>
          <w:p w14:paraId="4567F069" w14:textId="725C14A7"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51913F1B" wp14:editId="4C2ED323">
                  <wp:extent cx="417272" cy="417272"/>
                  <wp:effectExtent l="0" t="0" r="0" b="1905"/>
                  <wp:docPr id="1592420500"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8" w:type="dxa"/>
            <w:tcBorders>
              <w:top w:val="single" w:sz="4" w:space="0" w:color="000000"/>
              <w:left w:val="single" w:sz="4" w:space="0" w:color="000000"/>
              <w:bottom w:val="single" w:sz="4" w:space="0" w:color="000000"/>
            </w:tcBorders>
          </w:tcPr>
          <w:p w14:paraId="3F7ED100" w14:textId="710E8DE6"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5666B33B" wp14:editId="3CF6AFE2">
                  <wp:extent cx="417272" cy="417272"/>
                  <wp:effectExtent l="0" t="0" r="0" b="1905"/>
                  <wp:docPr id="1183463876"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tcBorders>
          </w:tcPr>
          <w:p w14:paraId="0E1513CB"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7F446E41" wp14:editId="7F46B084">
                  <wp:extent cx="504000" cy="504000"/>
                  <wp:effectExtent l="0" t="0" r="0" b="0"/>
                  <wp:docPr id="2123751912"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4000" cy="504000"/>
                          </a:xfrm>
                          <a:prstGeom prst="rect">
                            <a:avLst/>
                          </a:prstGeom>
                        </pic:spPr>
                      </pic:pic>
                    </a:graphicData>
                  </a:graphic>
                </wp:inline>
              </w:drawing>
            </w:r>
          </w:p>
          <w:p w14:paraId="7F24CA35" w14:textId="2C033CA8" w:rsidR="008F31F7" w:rsidRPr="00E300D7" w:rsidRDefault="008F31F7"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 xml:space="preserve">High </w:t>
            </w:r>
          </w:p>
        </w:tc>
        <w:tc>
          <w:tcPr>
            <w:tcW w:w="1608" w:type="dxa"/>
            <w:tcBorders>
              <w:top w:val="single" w:sz="4" w:space="0" w:color="000000"/>
              <w:left w:val="single" w:sz="4" w:space="0" w:color="000000"/>
              <w:bottom w:val="single" w:sz="4" w:space="0" w:color="000000"/>
            </w:tcBorders>
          </w:tcPr>
          <w:p w14:paraId="40F0B5BA"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43F3E92F" wp14:editId="7F459141">
                  <wp:extent cx="320040" cy="320040"/>
                  <wp:effectExtent l="0" t="0" r="3810" b="3810"/>
                  <wp:docPr id="1449957583"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416E51F5" w14:textId="6D788785"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877" w:type="dxa"/>
            <w:tcBorders>
              <w:top w:val="single" w:sz="4" w:space="0" w:color="000000"/>
              <w:left w:val="single" w:sz="4" w:space="0" w:color="000000"/>
              <w:bottom w:val="single" w:sz="4" w:space="0" w:color="000000"/>
              <w:right w:val="single" w:sz="4" w:space="0" w:color="000000"/>
            </w:tcBorders>
          </w:tcPr>
          <w:p w14:paraId="149D8412" w14:textId="41514672" w:rsidR="00A620FC" w:rsidRDefault="00234E6C"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Limited reimbursement</w:t>
            </w:r>
            <w:r w:rsidR="007034C1">
              <w:rPr>
                <w:rFonts w:eastAsia="Arial"/>
                <w:color w:val="000000"/>
              </w:rPr>
              <w:t xml:space="preserve"> </w:t>
            </w:r>
            <w:r w:rsidR="00DB60D4" w:rsidRPr="00DB60D4">
              <w:rPr>
                <w:rFonts w:eastAsia="Arial"/>
                <w:color w:val="000000"/>
              </w:rPr>
              <w:t>of anti</w:t>
            </w:r>
            <w:r w:rsidR="0054479A">
              <w:rPr>
                <w:rFonts w:eastAsia="Arial"/>
                <w:color w:val="000000"/>
              </w:rPr>
              <w:t>-</w:t>
            </w:r>
            <w:r w:rsidR="00DB60D4" w:rsidRPr="00DB60D4">
              <w:rPr>
                <w:rFonts w:eastAsia="Arial"/>
                <w:color w:val="000000"/>
              </w:rPr>
              <w:t>VEGF therapy</w:t>
            </w:r>
            <w:r w:rsidR="007034C1">
              <w:rPr>
                <w:rFonts w:eastAsia="Arial"/>
                <w:color w:val="000000"/>
              </w:rPr>
              <w:t xml:space="preserve"> (only </w:t>
            </w:r>
            <w:r w:rsidR="00DB60D4" w:rsidRPr="00DB60D4">
              <w:rPr>
                <w:rFonts w:eastAsia="Arial"/>
                <w:color w:val="000000"/>
              </w:rPr>
              <w:t xml:space="preserve">available for </w:t>
            </w:r>
            <w:r w:rsidR="00B65413">
              <w:rPr>
                <w:rFonts w:eastAsia="Arial"/>
                <w:color w:val="000000"/>
              </w:rPr>
              <w:t>some patients with</w:t>
            </w:r>
            <w:r w:rsidR="00DB60D4" w:rsidRPr="00DB60D4">
              <w:rPr>
                <w:rFonts w:eastAsia="Arial"/>
                <w:color w:val="000000"/>
              </w:rPr>
              <w:t xml:space="preserve"> </w:t>
            </w:r>
            <w:r w:rsidR="00B65413">
              <w:rPr>
                <w:rFonts w:eastAsia="Arial"/>
                <w:color w:val="000000"/>
              </w:rPr>
              <w:t xml:space="preserve">naïve </w:t>
            </w:r>
            <w:r w:rsidR="00DB60D4" w:rsidRPr="00DB60D4">
              <w:rPr>
                <w:rFonts w:eastAsia="Arial"/>
                <w:color w:val="000000"/>
              </w:rPr>
              <w:t>DME with specifically selected criteria</w:t>
            </w:r>
            <w:r w:rsidR="00B65413">
              <w:rPr>
                <w:rFonts w:eastAsia="Arial"/>
                <w:color w:val="000000"/>
              </w:rPr>
              <w:t xml:space="preserve"> in 2025</w:t>
            </w:r>
            <w:r w:rsidR="000649C0">
              <w:rPr>
                <w:rFonts w:eastAsia="Arial"/>
                <w:color w:val="000000"/>
              </w:rPr>
              <w:t xml:space="preserve">; </w:t>
            </w:r>
            <w:r w:rsidR="006F5460">
              <w:rPr>
                <w:rFonts w:eastAsia="Arial"/>
                <w:color w:val="000000"/>
              </w:rPr>
              <w:t>no</w:t>
            </w:r>
            <w:r w:rsidR="00F41378">
              <w:rPr>
                <w:rFonts w:eastAsia="Arial"/>
                <w:color w:val="000000"/>
              </w:rPr>
              <w:t xml:space="preserve"> </w:t>
            </w:r>
            <w:r w:rsidR="006F5460">
              <w:rPr>
                <w:rFonts w:eastAsia="Arial"/>
                <w:color w:val="000000"/>
              </w:rPr>
              <w:t xml:space="preserve">reimbursement </w:t>
            </w:r>
            <w:r w:rsidR="00A620FC">
              <w:rPr>
                <w:rFonts w:eastAsia="Arial"/>
                <w:color w:val="000000"/>
              </w:rPr>
              <w:t>in patients with</w:t>
            </w:r>
            <w:r w:rsidR="00693E3E">
              <w:rPr>
                <w:rFonts w:eastAsia="Arial"/>
                <w:color w:val="000000"/>
              </w:rPr>
              <w:t xml:space="preserve"> nAMD</w:t>
            </w:r>
            <w:r w:rsidR="00DB60D4" w:rsidRPr="00DB60D4">
              <w:rPr>
                <w:rFonts w:eastAsia="Arial"/>
                <w:color w:val="000000"/>
              </w:rPr>
              <w:t xml:space="preserve"> </w:t>
            </w:r>
            <w:r w:rsidR="00A620FC">
              <w:rPr>
                <w:rFonts w:eastAsia="Arial"/>
                <w:color w:val="000000"/>
              </w:rPr>
              <w:t>and</w:t>
            </w:r>
            <w:r w:rsidR="00DB60D4" w:rsidRPr="00DB60D4">
              <w:rPr>
                <w:rFonts w:eastAsia="Arial"/>
                <w:color w:val="000000"/>
              </w:rPr>
              <w:t xml:space="preserve"> RVO</w:t>
            </w:r>
            <w:r w:rsidR="00693E3E">
              <w:rPr>
                <w:rFonts w:eastAsia="Arial"/>
                <w:color w:val="000000"/>
              </w:rPr>
              <w:t>)</w:t>
            </w:r>
          </w:p>
          <w:p w14:paraId="404B03D6" w14:textId="583C1DE6"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People often approach private care</w:t>
            </w:r>
          </w:p>
        </w:tc>
      </w:tr>
      <w:tr w:rsidR="00E05DE3" w:rsidRPr="00E300D7" w14:paraId="48231D45"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614CA589"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20361779" wp14:editId="562F2F3C">
                  <wp:extent cx="504000" cy="504000"/>
                  <wp:effectExtent l="0" t="0" r="0" b="0"/>
                  <wp:docPr id="167506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65758" name=""/>
                          <pic:cNvPicPr/>
                        </pic:nvPicPr>
                        <pic:blipFill>
                          <a:blip r:embed="rId33"/>
                          <a:stretch>
                            <a:fillRect/>
                          </a:stretch>
                        </pic:blipFill>
                        <pic:spPr>
                          <a:xfrm>
                            <a:off x="0" y="0"/>
                            <a:ext cx="504000" cy="504000"/>
                          </a:xfrm>
                          <a:prstGeom prst="rect">
                            <a:avLst/>
                          </a:prstGeom>
                        </pic:spPr>
                      </pic:pic>
                    </a:graphicData>
                  </a:graphic>
                </wp:inline>
              </w:drawing>
            </w:r>
          </w:p>
          <w:p w14:paraId="6D6EF4A1" w14:textId="7A8CEA62"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LITHUANIA</w:t>
            </w:r>
          </w:p>
        </w:tc>
        <w:tc>
          <w:tcPr>
            <w:tcW w:w="1603" w:type="dxa"/>
            <w:tcBorders>
              <w:top w:val="single" w:sz="4" w:space="0" w:color="000000"/>
              <w:left w:val="single" w:sz="4" w:space="0" w:color="000000"/>
              <w:bottom w:val="single" w:sz="4" w:space="0" w:color="000000"/>
            </w:tcBorders>
          </w:tcPr>
          <w:p w14:paraId="1D52FBCD" w14:textId="13929F39" w:rsidR="00383384" w:rsidRDefault="00383384"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7AF30693" wp14:editId="5850306F">
                  <wp:extent cx="504000" cy="504000"/>
                  <wp:effectExtent l="0" t="0" r="0" b="0"/>
                  <wp:docPr id="149291591" name="Graphic 14" descr="Checkbox Checked with solid fill">
                    <a:extLst xmlns:a="http://schemas.openxmlformats.org/drawingml/2006/main">
                      <a:ext uri="{FF2B5EF4-FFF2-40B4-BE49-F238E27FC236}">
                        <a16:creationId xmlns:a16="http://schemas.microsoft.com/office/drawing/2014/main" id="{BE7EC99B-A1FC-275E-85DC-CC83DF3F5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Checkbox Checked with solid fill">
                            <a:extLst>
                              <a:ext uri="{FF2B5EF4-FFF2-40B4-BE49-F238E27FC236}">
                                <a16:creationId xmlns:a16="http://schemas.microsoft.com/office/drawing/2014/main" id="{BE7EC99B-A1FC-275E-85DC-CC83DF3F56C4}"/>
                              </a:ext>
                            </a:extLst>
                          </pic:cNvPr>
                          <pic:cNvPicPr>
                            <a:picLocks noChangeAspect="1"/>
                          </pic:cNvPicPr>
                        </pic:nvPicPr>
                        <pic:blipFill>
                          <a:blip r:embed="rId18">
                            <a:extLst>
                              <a:ext uri="{96DAC541-7B7A-43D3-8B79-37D633B846F1}">
                                <asvg:svgBlip xmlns:asvg="http://schemas.microsoft.com/office/drawing/2016/SVG/main" r:embed="rId34"/>
                              </a:ext>
                            </a:extLst>
                          </a:blip>
                          <a:stretch>
                            <a:fillRect/>
                          </a:stretch>
                        </pic:blipFill>
                        <pic:spPr>
                          <a:xfrm>
                            <a:off x="0" y="0"/>
                            <a:ext cx="504000" cy="504000"/>
                          </a:xfrm>
                          <a:prstGeom prst="rect">
                            <a:avLst/>
                          </a:prstGeom>
                        </pic:spPr>
                      </pic:pic>
                    </a:graphicData>
                  </a:graphic>
                </wp:inline>
              </w:drawing>
            </w:r>
          </w:p>
          <w:p w14:paraId="54ABC391" w14:textId="4CF63B6F"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P</w:t>
            </w:r>
            <w:r w:rsidRPr="00413EA6">
              <w:rPr>
                <w:rFonts w:eastAsia="Arial"/>
                <w:color w:val="000000"/>
              </w:rPr>
              <w:t xml:space="preserve">reventive check-ups </w:t>
            </w:r>
            <w:r w:rsidR="00383384">
              <w:rPr>
                <w:rFonts w:eastAsia="Arial"/>
                <w:color w:val="000000"/>
              </w:rPr>
              <w:t xml:space="preserve">with diabetes </w:t>
            </w:r>
            <w:r w:rsidRPr="00413EA6">
              <w:rPr>
                <w:rFonts w:eastAsia="Arial"/>
                <w:color w:val="000000"/>
              </w:rPr>
              <w:t>every 1–2 years</w:t>
            </w:r>
          </w:p>
        </w:tc>
        <w:tc>
          <w:tcPr>
            <w:tcW w:w="1608" w:type="dxa"/>
            <w:tcBorders>
              <w:top w:val="single" w:sz="4" w:space="0" w:color="000000"/>
              <w:left w:val="single" w:sz="4" w:space="0" w:color="000000"/>
              <w:bottom w:val="single" w:sz="4" w:space="0" w:color="000000"/>
            </w:tcBorders>
          </w:tcPr>
          <w:p w14:paraId="3CACEC49"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5D7440D1" wp14:editId="4FE7701C">
                  <wp:extent cx="320040" cy="320040"/>
                  <wp:effectExtent l="0" t="0" r="3810" b="3810"/>
                  <wp:docPr id="1118328387"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5C7A6DE9" w14:textId="50F18B27"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Partial</w:t>
            </w:r>
          </w:p>
        </w:tc>
        <w:tc>
          <w:tcPr>
            <w:tcW w:w="1603" w:type="dxa"/>
            <w:tcBorders>
              <w:top w:val="single" w:sz="4" w:space="0" w:color="000000"/>
              <w:left w:val="single" w:sz="4" w:space="0" w:color="000000"/>
              <w:bottom w:val="single" w:sz="4" w:space="0" w:color="000000"/>
            </w:tcBorders>
          </w:tcPr>
          <w:p w14:paraId="4C64C41B" w14:textId="77777777" w:rsidR="00710B70"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73B9A243" wp14:editId="3392D0FD">
                  <wp:extent cx="320040" cy="320040"/>
                  <wp:effectExtent l="0" t="0" r="3810" b="3810"/>
                  <wp:docPr id="1349890969"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5FD7747C" w14:textId="73EFAA4A"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608" w:type="dxa"/>
            <w:tcBorders>
              <w:top w:val="single" w:sz="4" w:space="0" w:color="000000"/>
              <w:left w:val="single" w:sz="4" w:space="0" w:color="000000"/>
              <w:bottom w:val="single" w:sz="4" w:space="0" w:color="000000"/>
            </w:tcBorders>
          </w:tcPr>
          <w:p w14:paraId="13D5674B"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78B1DE46" wp14:editId="5AA915D8">
                  <wp:extent cx="320040" cy="320040"/>
                  <wp:effectExtent l="0" t="0" r="3810" b="3810"/>
                  <wp:docPr id="581195557"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679CA803" w14:textId="7CE8592C"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Uneven</w:t>
            </w:r>
          </w:p>
        </w:tc>
        <w:tc>
          <w:tcPr>
            <w:tcW w:w="1877" w:type="dxa"/>
            <w:tcBorders>
              <w:top w:val="single" w:sz="4" w:space="0" w:color="000000"/>
              <w:left w:val="single" w:sz="4" w:space="0" w:color="000000"/>
              <w:bottom w:val="single" w:sz="4" w:space="0" w:color="000000"/>
              <w:right w:val="single" w:sz="4" w:space="0" w:color="000000"/>
            </w:tcBorders>
          </w:tcPr>
          <w:p w14:paraId="7FE67BAA" w14:textId="6134E50E"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413EA6">
              <w:rPr>
                <w:rFonts w:eastAsia="Arial"/>
                <w:color w:val="000000"/>
              </w:rPr>
              <w:t>Long waits for first appointment; many turn to private care</w:t>
            </w:r>
          </w:p>
        </w:tc>
      </w:tr>
      <w:tr w:rsidR="00E05DE3" w:rsidRPr="00E300D7" w14:paraId="51A99E65"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01865264"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5959AA90" wp14:editId="5FF1498D">
                  <wp:extent cx="504000" cy="504000"/>
                  <wp:effectExtent l="0" t="0" r="0" b="0"/>
                  <wp:docPr id="97044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43106" name=""/>
                          <pic:cNvPicPr/>
                        </pic:nvPicPr>
                        <pic:blipFill>
                          <a:blip r:embed="rId35"/>
                          <a:stretch>
                            <a:fillRect/>
                          </a:stretch>
                        </pic:blipFill>
                        <pic:spPr>
                          <a:xfrm>
                            <a:off x="0" y="0"/>
                            <a:ext cx="504000" cy="504000"/>
                          </a:xfrm>
                          <a:prstGeom prst="rect">
                            <a:avLst/>
                          </a:prstGeom>
                        </pic:spPr>
                      </pic:pic>
                    </a:graphicData>
                  </a:graphic>
                </wp:inline>
              </w:drawing>
            </w:r>
          </w:p>
          <w:p w14:paraId="1F96286E" w14:textId="694EE9EC"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NORTH MACEDONIA</w:t>
            </w:r>
          </w:p>
        </w:tc>
        <w:tc>
          <w:tcPr>
            <w:tcW w:w="1603" w:type="dxa"/>
            <w:tcBorders>
              <w:top w:val="single" w:sz="4" w:space="0" w:color="000000"/>
              <w:left w:val="single" w:sz="4" w:space="0" w:color="000000"/>
              <w:bottom w:val="single" w:sz="4" w:space="0" w:color="000000"/>
            </w:tcBorders>
          </w:tcPr>
          <w:p w14:paraId="5E99C047" w14:textId="72175F6D"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05B4D91B" wp14:editId="05F981B5">
                  <wp:extent cx="417272" cy="417272"/>
                  <wp:effectExtent l="0" t="0" r="0" b="1905"/>
                  <wp:docPr id="434025666"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8" w:type="dxa"/>
            <w:tcBorders>
              <w:top w:val="single" w:sz="4" w:space="0" w:color="000000"/>
              <w:left w:val="single" w:sz="4" w:space="0" w:color="000000"/>
              <w:bottom w:val="single" w:sz="4" w:space="0" w:color="000000"/>
            </w:tcBorders>
          </w:tcPr>
          <w:p w14:paraId="4B724619" w14:textId="04844A4F"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622376BD" wp14:editId="058F19CA">
                  <wp:extent cx="417272" cy="417272"/>
                  <wp:effectExtent l="0" t="0" r="0" b="1905"/>
                  <wp:docPr id="1118005555"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tcBorders>
          </w:tcPr>
          <w:p w14:paraId="3B015B5F"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7A7C5976" wp14:editId="0F81007A">
                  <wp:extent cx="320040" cy="320040"/>
                  <wp:effectExtent l="0" t="0" r="3810" b="3810"/>
                  <wp:docPr id="2093237363"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79F812E8" w14:textId="57DC56F8"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608" w:type="dxa"/>
            <w:tcBorders>
              <w:top w:val="single" w:sz="4" w:space="0" w:color="000000"/>
              <w:left w:val="single" w:sz="4" w:space="0" w:color="000000"/>
              <w:bottom w:val="single" w:sz="4" w:space="0" w:color="000000"/>
            </w:tcBorders>
          </w:tcPr>
          <w:p w14:paraId="3232A258"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71ADC01B" wp14:editId="31AFCDF6">
                  <wp:extent cx="320040" cy="320040"/>
                  <wp:effectExtent l="0" t="0" r="3810" b="3810"/>
                  <wp:docPr id="2146438091"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3CFA48B7" w14:textId="3E1B23A1"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877" w:type="dxa"/>
            <w:tcBorders>
              <w:top w:val="single" w:sz="4" w:space="0" w:color="000000"/>
              <w:left w:val="single" w:sz="4" w:space="0" w:color="000000"/>
              <w:bottom w:val="single" w:sz="4" w:space="0" w:color="000000"/>
              <w:right w:val="single" w:sz="4" w:space="0" w:color="000000"/>
            </w:tcBorders>
          </w:tcPr>
          <w:p w14:paraId="0971C534" w14:textId="15BD6E45" w:rsidR="00B809B6" w:rsidRPr="00B809B6" w:rsidRDefault="00B809B6" w:rsidP="00B809B6">
            <w:pPr>
              <w:widowControl w:val="0"/>
              <w:pBdr>
                <w:top w:val="nil"/>
                <w:left w:val="nil"/>
                <w:bottom w:val="nil"/>
                <w:right w:val="nil"/>
                <w:between w:val="nil"/>
              </w:pBdr>
              <w:spacing w:before="120" w:after="120" w:line="360" w:lineRule="auto"/>
              <w:jc w:val="center"/>
              <w:rPr>
                <w:rFonts w:eastAsia="Arial"/>
                <w:color w:val="000000"/>
              </w:rPr>
            </w:pPr>
            <w:r w:rsidRPr="00B809B6">
              <w:rPr>
                <w:rFonts w:eastAsia="Arial"/>
                <w:color w:val="000000"/>
              </w:rPr>
              <w:t xml:space="preserve">In public healthcare, treatment is </w:t>
            </w:r>
            <w:r w:rsidR="00BE423A" w:rsidRPr="00B809B6">
              <w:rPr>
                <w:rFonts w:eastAsia="Arial"/>
                <w:color w:val="000000"/>
              </w:rPr>
              <w:t>centralised,</w:t>
            </w:r>
            <w:r w:rsidRPr="00B809B6">
              <w:rPr>
                <w:rFonts w:eastAsia="Arial"/>
                <w:color w:val="000000"/>
              </w:rPr>
              <w:t xml:space="preserve"> in private healthcare, patients </w:t>
            </w:r>
          </w:p>
          <w:p w14:paraId="6CA70CD1" w14:textId="77777777" w:rsidR="00B809B6" w:rsidRPr="00B809B6" w:rsidRDefault="00B809B6" w:rsidP="00B809B6">
            <w:pPr>
              <w:widowControl w:val="0"/>
              <w:pBdr>
                <w:top w:val="nil"/>
                <w:left w:val="nil"/>
                <w:bottom w:val="nil"/>
                <w:right w:val="nil"/>
                <w:between w:val="nil"/>
              </w:pBdr>
              <w:spacing w:before="120" w:after="120" w:line="360" w:lineRule="auto"/>
              <w:jc w:val="center"/>
              <w:rPr>
                <w:rFonts w:eastAsia="Arial"/>
                <w:color w:val="000000"/>
              </w:rPr>
            </w:pPr>
            <w:r w:rsidRPr="00B809B6">
              <w:rPr>
                <w:rFonts w:eastAsia="Arial"/>
                <w:color w:val="000000"/>
              </w:rPr>
              <w:t xml:space="preserve">must pay </w:t>
            </w:r>
          </w:p>
          <w:p w14:paraId="68C466D3" w14:textId="5FA39F37" w:rsidR="00E05DE3" w:rsidRPr="00E300D7" w:rsidRDefault="00B809B6" w:rsidP="00B809B6">
            <w:pPr>
              <w:widowControl w:val="0"/>
              <w:pBdr>
                <w:top w:val="nil"/>
                <w:left w:val="nil"/>
                <w:bottom w:val="nil"/>
                <w:right w:val="nil"/>
                <w:between w:val="nil"/>
              </w:pBdr>
              <w:spacing w:before="120" w:after="120" w:line="360" w:lineRule="auto"/>
              <w:jc w:val="center"/>
              <w:rPr>
                <w:rFonts w:eastAsia="Arial"/>
                <w:color w:val="000000"/>
              </w:rPr>
            </w:pPr>
            <w:r w:rsidRPr="00B809B6">
              <w:rPr>
                <w:rFonts w:eastAsia="Arial"/>
                <w:color w:val="000000"/>
              </w:rPr>
              <w:t>out-of-pocket</w:t>
            </w:r>
          </w:p>
        </w:tc>
      </w:tr>
      <w:tr w:rsidR="00E05DE3" w:rsidRPr="00E300D7" w14:paraId="0F29A23E"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07E79E7B"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lastRenderedPageBreak/>
              <w:drawing>
                <wp:inline distT="0" distB="0" distL="0" distR="0" wp14:anchorId="44FBAAB8" wp14:editId="05D12B77">
                  <wp:extent cx="504000" cy="504000"/>
                  <wp:effectExtent l="0" t="0" r="0" b="0"/>
                  <wp:docPr id="478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322" name=""/>
                          <pic:cNvPicPr/>
                        </pic:nvPicPr>
                        <pic:blipFill>
                          <a:blip r:embed="rId36"/>
                          <a:stretch>
                            <a:fillRect/>
                          </a:stretch>
                        </pic:blipFill>
                        <pic:spPr>
                          <a:xfrm>
                            <a:off x="0" y="0"/>
                            <a:ext cx="504000" cy="504000"/>
                          </a:xfrm>
                          <a:prstGeom prst="rect">
                            <a:avLst/>
                          </a:prstGeom>
                        </pic:spPr>
                      </pic:pic>
                    </a:graphicData>
                  </a:graphic>
                </wp:inline>
              </w:drawing>
            </w:r>
          </w:p>
          <w:p w14:paraId="71D43880" w14:textId="70A1AD55"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SERBIA</w:t>
            </w:r>
          </w:p>
        </w:tc>
        <w:tc>
          <w:tcPr>
            <w:tcW w:w="1603" w:type="dxa"/>
            <w:tcBorders>
              <w:top w:val="single" w:sz="4" w:space="0" w:color="000000"/>
              <w:left w:val="single" w:sz="4" w:space="0" w:color="000000"/>
              <w:bottom w:val="single" w:sz="4" w:space="0" w:color="000000"/>
            </w:tcBorders>
          </w:tcPr>
          <w:p w14:paraId="75886C8D" w14:textId="074790E7" w:rsidR="00E05DE3" w:rsidRPr="00E300D7" w:rsidRDefault="00C237EB"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5F8E96E7" wp14:editId="7C400377">
                  <wp:extent cx="417272" cy="417272"/>
                  <wp:effectExtent l="0" t="0" r="0" b="1905"/>
                  <wp:docPr id="120334444"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8" w:type="dxa"/>
            <w:tcBorders>
              <w:top w:val="single" w:sz="4" w:space="0" w:color="000000"/>
              <w:left w:val="single" w:sz="4" w:space="0" w:color="000000"/>
              <w:bottom w:val="single" w:sz="4" w:space="0" w:color="000000"/>
            </w:tcBorders>
          </w:tcPr>
          <w:p w14:paraId="0DB9465A" w14:textId="32F298AC" w:rsidR="00E05DE3" w:rsidRPr="00E300D7" w:rsidRDefault="00C237EB"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1FD7D57A" wp14:editId="36257EBD">
                  <wp:extent cx="417272" cy="417272"/>
                  <wp:effectExtent l="0" t="0" r="0" b="1905"/>
                  <wp:docPr id="291576610"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tcBorders>
          </w:tcPr>
          <w:p w14:paraId="6CC883A4" w14:textId="71226B4E" w:rsidR="00E05DE3" w:rsidRDefault="00C237EB"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507B76A9" wp14:editId="2B841DD1">
                  <wp:extent cx="320040" cy="320040"/>
                  <wp:effectExtent l="0" t="0" r="3810" b="3810"/>
                  <wp:docPr id="1450549764" name="Graphic 8" descr="Warning with solid fill">
                    <a:extLst xmlns:a="http://schemas.openxmlformats.org/drawingml/2006/main">
                      <a:ext uri="{FF2B5EF4-FFF2-40B4-BE49-F238E27FC236}">
                        <a16:creationId xmlns:a16="http://schemas.microsoft.com/office/drawing/2014/main" id="{77B3D190-D0C2-9618-445D-1F0324986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Warning with solid fill">
                            <a:extLst>
                              <a:ext uri="{FF2B5EF4-FFF2-40B4-BE49-F238E27FC236}">
                                <a16:creationId xmlns:a16="http://schemas.microsoft.com/office/drawing/2014/main" id="{77B3D190-D0C2-9618-445D-1F032498653E}"/>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inline>
              </w:drawing>
            </w:r>
          </w:p>
          <w:p w14:paraId="17CC982E" w14:textId="5CCE8A2C" w:rsidR="003D51F7" w:rsidRPr="00E300D7" w:rsidRDefault="00C237EB"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Limited</w:t>
            </w:r>
            <w:r w:rsidR="009D1025">
              <w:t xml:space="preserve"> </w:t>
            </w:r>
            <w:r w:rsidR="009D1025">
              <w:rPr>
                <w:rFonts w:eastAsia="Arial"/>
                <w:color w:val="000000"/>
              </w:rPr>
              <w:br/>
            </w:r>
            <w:r w:rsidR="009D1025" w:rsidRPr="009D1025">
              <w:rPr>
                <w:rFonts w:eastAsia="Arial"/>
                <w:color w:val="000000"/>
              </w:rPr>
              <w:t>(in public</w:t>
            </w:r>
            <w:r w:rsidR="00711109">
              <w:rPr>
                <w:rFonts w:eastAsia="Arial"/>
                <w:color w:val="000000"/>
              </w:rPr>
              <w:t xml:space="preserve"> </w:t>
            </w:r>
            <w:r w:rsidR="005B3EE4">
              <w:rPr>
                <w:rFonts w:eastAsia="Arial"/>
                <w:color w:val="000000"/>
              </w:rPr>
              <w:t>setting there are</w:t>
            </w:r>
            <w:r w:rsidR="00711109">
              <w:rPr>
                <w:rFonts w:eastAsia="Arial"/>
                <w:color w:val="000000"/>
              </w:rPr>
              <w:t xml:space="preserve"> </w:t>
            </w:r>
            <w:r w:rsidR="009D1025" w:rsidRPr="009D1025">
              <w:rPr>
                <w:rFonts w:eastAsia="Arial"/>
                <w:color w:val="000000"/>
              </w:rPr>
              <w:t xml:space="preserve">long waiting times </w:t>
            </w:r>
            <w:r w:rsidR="00140440">
              <w:rPr>
                <w:rFonts w:eastAsia="Arial"/>
                <w:color w:val="000000"/>
              </w:rPr>
              <w:br/>
            </w:r>
            <w:r w:rsidR="009D1025" w:rsidRPr="009D1025">
              <w:rPr>
                <w:rFonts w:eastAsia="Arial"/>
                <w:color w:val="000000"/>
              </w:rPr>
              <w:t xml:space="preserve">for appointment due to insufficient capacity) to partial (private </w:t>
            </w:r>
            <w:r w:rsidR="005B3EE4">
              <w:rPr>
                <w:rFonts w:eastAsia="Arial"/>
                <w:color w:val="000000"/>
              </w:rPr>
              <w:t xml:space="preserve">healthcare </w:t>
            </w:r>
            <w:r w:rsidR="009D1025" w:rsidRPr="009D1025">
              <w:rPr>
                <w:rFonts w:eastAsia="Arial"/>
                <w:color w:val="000000"/>
              </w:rPr>
              <w:t>require</w:t>
            </w:r>
            <w:r w:rsidR="005B3EE4">
              <w:rPr>
                <w:rFonts w:eastAsia="Arial"/>
                <w:color w:val="000000"/>
              </w:rPr>
              <w:t>s</w:t>
            </w:r>
            <w:r w:rsidR="005B3EE4">
              <w:rPr>
                <w:rFonts w:eastAsia="Arial"/>
                <w:color w:val="000000"/>
              </w:rPr>
              <w:br/>
            </w:r>
            <w:r w:rsidR="009D1025" w:rsidRPr="009D1025">
              <w:rPr>
                <w:rFonts w:eastAsia="Arial"/>
                <w:color w:val="000000"/>
              </w:rPr>
              <w:t xml:space="preserve"> out-of-pocket payments by patients)</w:t>
            </w:r>
          </w:p>
        </w:tc>
        <w:tc>
          <w:tcPr>
            <w:tcW w:w="1608" w:type="dxa"/>
            <w:tcBorders>
              <w:top w:val="single" w:sz="4" w:space="0" w:color="000000"/>
              <w:left w:val="single" w:sz="4" w:space="0" w:color="000000"/>
              <w:bottom w:val="single" w:sz="4" w:space="0" w:color="000000"/>
            </w:tcBorders>
          </w:tcPr>
          <w:p w14:paraId="1FDF97C3" w14:textId="77777777" w:rsidR="00E05DE3" w:rsidRDefault="00124E10"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78B2C9CD" wp14:editId="7DF4A5D8">
                  <wp:extent cx="320040" cy="320040"/>
                  <wp:effectExtent l="0" t="0" r="3810" b="3810"/>
                  <wp:docPr id="1607596861"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0DF3A245" w14:textId="77777777" w:rsidR="00124E10" w:rsidRDefault="00124E10"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Moderate</w:t>
            </w:r>
          </w:p>
          <w:p w14:paraId="1EF6DA01" w14:textId="755483A7" w:rsidR="00124E10" w:rsidRPr="00E300D7" w:rsidRDefault="00124E10" w:rsidP="00E05DE3">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(low number of retinologists</w:t>
            </w:r>
            <w:r w:rsidR="00455778">
              <w:rPr>
                <w:rFonts w:eastAsia="Arial"/>
                <w:color w:val="000000"/>
              </w:rPr>
              <w:t xml:space="preserve">, </w:t>
            </w:r>
            <w:r w:rsidR="00140440">
              <w:rPr>
                <w:rFonts w:eastAsia="Arial"/>
                <w:color w:val="000000"/>
              </w:rPr>
              <w:br/>
            </w:r>
            <w:r w:rsidR="00455778">
              <w:rPr>
                <w:rFonts w:eastAsia="Arial"/>
                <w:color w:val="000000"/>
              </w:rPr>
              <w:t xml:space="preserve">but </w:t>
            </w:r>
            <w:r w:rsidR="00140440">
              <w:rPr>
                <w:rFonts w:eastAsia="Arial"/>
                <w:color w:val="000000"/>
              </w:rPr>
              <w:t>the</w:t>
            </w:r>
            <w:r w:rsidR="00455778">
              <w:rPr>
                <w:rFonts w:eastAsia="Arial"/>
                <w:color w:val="000000"/>
              </w:rPr>
              <w:t xml:space="preserve"> number of</w:t>
            </w:r>
            <w:r w:rsidR="00140440">
              <w:rPr>
                <w:rFonts w:eastAsia="Arial"/>
                <w:color w:val="000000"/>
              </w:rPr>
              <w:t xml:space="preserve"> general</w:t>
            </w:r>
            <w:r w:rsidR="00455778">
              <w:rPr>
                <w:rFonts w:eastAsia="Arial"/>
                <w:color w:val="000000"/>
              </w:rPr>
              <w:t xml:space="preserve"> </w:t>
            </w:r>
            <w:r w:rsidR="00140440">
              <w:rPr>
                <w:rFonts w:eastAsia="Arial"/>
                <w:color w:val="000000"/>
              </w:rPr>
              <w:t>ophthalmologists is high</w:t>
            </w:r>
            <w:r w:rsidR="00455778">
              <w:rPr>
                <w:rFonts w:eastAsia="Arial"/>
                <w:color w:val="000000"/>
              </w:rPr>
              <w:t>)</w:t>
            </w:r>
          </w:p>
        </w:tc>
        <w:tc>
          <w:tcPr>
            <w:tcW w:w="1877" w:type="dxa"/>
            <w:tcBorders>
              <w:top w:val="single" w:sz="4" w:space="0" w:color="000000"/>
              <w:left w:val="single" w:sz="4" w:space="0" w:color="000000"/>
              <w:bottom w:val="single" w:sz="4" w:space="0" w:color="000000"/>
              <w:right w:val="single" w:sz="4" w:space="0" w:color="000000"/>
            </w:tcBorders>
          </w:tcPr>
          <w:p w14:paraId="4EFC0899" w14:textId="0F51F5A6" w:rsidR="00A9230F" w:rsidRDefault="001A6D6D" w:rsidP="00A9230F">
            <w:pPr>
              <w:widowControl w:val="0"/>
              <w:pBdr>
                <w:top w:val="nil"/>
                <w:left w:val="nil"/>
                <w:bottom w:val="nil"/>
                <w:right w:val="nil"/>
                <w:between w:val="nil"/>
              </w:pBdr>
              <w:spacing w:before="120" w:after="120" w:line="360" w:lineRule="auto"/>
              <w:jc w:val="center"/>
              <w:rPr>
                <w:rFonts w:eastAsia="Arial"/>
                <w:color w:val="000000"/>
              </w:rPr>
            </w:pPr>
            <w:r>
              <w:rPr>
                <w:rFonts w:eastAsia="Arial"/>
                <w:color w:val="000000"/>
              </w:rPr>
              <w:t>Limited</w:t>
            </w:r>
            <w:r w:rsidR="00A9230F" w:rsidRPr="00F84654">
              <w:rPr>
                <w:rFonts w:eastAsia="Arial"/>
                <w:color w:val="000000"/>
              </w:rPr>
              <w:t xml:space="preserve"> public reimbursement for on-label products for nAMD</w:t>
            </w:r>
            <w:r>
              <w:rPr>
                <w:rFonts w:eastAsia="Arial"/>
                <w:color w:val="000000"/>
              </w:rPr>
              <w:t xml:space="preserve"> and</w:t>
            </w:r>
            <w:r w:rsidR="00A9230F" w:rsidRPr="00F84654">
              <w:rPr>
                <w:rFonts w:eastAsia="Arial"/>
                <w:color w:val="000000"/>
              </w:rPr>
              <w:t xml:space="preserve"> RVO</w:t>
            </w:r>
          </w:p>
          <w:p w14:paraId="7F16222A" w14:textId="6C2FD3E2" w:rsidR="00E05DE3" w:rsidRPr="00E300D7" w:rsidRDefault="00E05DE3" w:rsidP="00396235">
            <w:pPr>
              <w:widowControl w:val="0"/>
              <w:pBdr>
                <w:top w:val="nil"/>
                <w:left w:val="nil"/>
                <w:bottom w:val="nil"/>
                <w:right w:val="nil"/>
                <w:between w:val="nil"/>
              </w:pBdr>
              <w:spacing w:before="120" w:after="120" w:line="360" w:lineRule="auto"/>
              <w:jc w:val="center"/>
              <w:rPr>
                <w:rFonts w:eastAsia="Arial"/>
                <w:color w:val="000000"/>
              </w:rPr>
            </w:pPr>
          </w:p>
        </w:tc>
      </w:tr>
      <w:tr w:rsidR="00E05DE3" w:rsidRPr="00E300D7" w14:paraId="4794A212" w14:textId="77777777" w:rsidTr="009F121D">
        <w:trPr>
          <w:cantSplit/>
          <w:trHeight w:val="989"/>
          <w:jc w:val="center"/>
        </w:trPr>
        <w:tc>
          <w:tcPr>
            <w:tcW w:w="1902" w:type="dxa"/>
            <w:tcBorders>
              <w:top w:val="single" w:sz="4" w:space="0" w:color="000000"/>
              <w:left w:val="single" w:sz="4" w:space="0" w:color="000000"/>
              <w:bottom w:val="single" w:sz="4" w:space="0" w:color="000000"/>
            </w:tcBorders>
          </w:tcPr>
          <w:p w14:paraId="2B4B5A6E" w14:textId="77777777"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noProof/>
                <w:color w:val="000000"/>
              </w:rPr>
              <w:drawing>
                <wp:inline distT="0" distB="0" distL="0" distR="0" wp14:anchorId="0027644E" wp14:editId="023FA7B5">
                  <wp:extent cx="504000" cy="504000"/>
                  <wp:effectExtent l="0" t="0" r="0" b="0"/>
                  <wp:docPr id="153082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28390" name=""/>
                          <pic:cNvPicPr/>
                        </pic:nvPicPr>
                        <pic:blipFill>
                          <a:blip r:embed="rId37"/>
                          <a:stretch>
                            <a:fillRect/>
                          </a:stretch>
                        </pic:blipFill>
                        <pic:spPr>
                          <a:xfrm>
                            <a:off x="0" y="0"/>
                            <a:ext cx="504000" cy="504000"/>
                          </a:xfrm>
                          <a:prstGeom prst="rect">
                            <a:avLst/>
                          </a:prstGeom>
                        </pic:spPr>
                      </pic:pic>
                    </a:graphicData>
                  </a:graphic>
                </wp:inline>
              </w:drawing>
            </w:r>
          </w:p>
          <w:p w14:paraId="333E4D76" w14:textId="225869DE" w:rsidR="00E05DE3" w:rsidRPr="00E05DE3" w:rsidRDefault="00E05DE3" w:rsidP="00E05DE3">
            <w:pPr>
              <w:widowControl w:val="0"/>
              <w:pBdr>
                <w:top w:val="nil"/>
                <w:left w:val="nil"/>
                <w:bottom w:val="nil"/>
                <w:right w:val="nil"/>
                <w:between w:val="nil"/>
              </w:pBdr>
              <w:spacing w:before="120" w:after="120" w:line="360" w:lineRule="auto"/>
              <w:jc w:val="center"/>
              <w:rPr>
                <w:rFonts w:eastAsia="Arial"/>
                <w:b/>
                <w:bCs/>
                <w:color w:val="000000"/>
              </w:rPr>
            </w:pPr>
            <w:r w:rsidRPr="00E05DE3">
              <w:rPr>
                <w:rFonts w:eastAsia="Arial"/>
                <w:b/>
                <w:bCs/>
                <w:color w:val="000000"/>
              </w:rPr>
              <w:t>SLOVAKIA</w:t>
            </w:r>
          </w:p>
        </w:tc>
        <w:tc>
          <w:tcPr>
            <w:tcW w:w="1603" w:type="dxa"/>
            <w:tcBorders>
              <w:top w:val="single" w:sz="4" w:space="0" w:color="000000"/>
              <w:left w:val="single" w:sz="4" w:space="0" w:color="000000"/>
              <w:bottom w:val="single" w:sz="4" w:space="0" w:color="000000"/>
            </w:tcBorders>
          </w:tcPr>
          <w:p w14:paraId="782E74D1" w14:textId="3B9D8F12"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26866B39" wp14:editId="0DCC40B4">
                  <wp:extent cx="417272" cy="417272"/>
                  <wp:effectExtent l="0" t="0" r="0" b="1905"/>
                  <wp:docPr id="1849177838"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tc>
        <w:tc>
          <w:tcPr>
            <w:tcW w:w="1608" w:type="dxa"/>
            <w:tcBorders>
              <w:top w:val="single" w:sz="4" w:space="0" w:color="000000"/>
              <w:left w:val="single" w:sz="4" w:space="0" w:color="000000"/>
              <w:bottom w:val="single" w:sz="4" w:space="0" w:color="000000"/>
            </w:tcBorders>
          </w:tcPr>
          <w:p w14:paraId="3C1439F3"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6EE7AFD7" wp14:editId="4951C936">
                  <wp:extent cx="320040" cy="320040"/>
                  <wp:effectExtent l="0" t="0" r="3810" b="3810"/>
                  <wp:docPr id="1159253334"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294464AC" w14:textId="6F0005B4"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Partial</w:t>
            </w:r>
          </w:p>
        </w:tc>
        <w:tc>
          <w:tcPr>
            <w:tcW w:w="1603" w:type="dxa"/>
            <w:tcBorders>
              <w:top w:val="single" w:sz="4" w:space="0" w:color="000000"/>
              <w:left w:val="single" w:sz="4" w:space="0" w:color="000000"/>
              <w:bottom w:val="single" w:sz="4" w:space="0" w:color="000000"/>
            </w:tcBorders>
          </w:tcPr>
          <w:p w14:paraId="1322248C" w14:textId="77777777" w:rsidR="00710B70"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1520A">
              <w:rPr>
                <w:rFonts w:eastAsia="Arial"/>
                <w:noProof/>
                <w:color w:val="000000"/>
              </w:rPr>
              <w:drawing>
                <wp:inline distT="0" distB="0" distL="0" distR="0" wp14:anchorId="03A6905C" wp14:editId="27FCD524">
                  <wp:extent cx="417272" cy="417272"/>
                  <wp:effectExtent l="0" t="0" r="0" b="1905"/>
                  <wp:docPr id="1318906882" name="Graphic 25" descr="Close with solid fill">
                    <a:extLst xmlns:a="http://schemas.openxmlformats.org/drawingml/2006/main">
                      <a:ext uri="{FF2B5EF4-FFF2-40B4-BE49-F238E27FC236}">
                        <a16:creationId xmlns:a16="http://schemas.microsoft.com/office/drawing/2014/main" id="{76B5A065-DA9C-2B44-5693-B22B72275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Close with solid fill">
                            <a:extLst>
                              <a:ext uri="{FF2B5EF4-FFF2-40B4-BE49-F238E27FC236}">
                                <a16:creationId xmlns:a16="http://schemas.microsoft.com/office/drawing/2014/main" id="{76B5A065-DA9C-2B44-5693-B22B72275DD3}"/>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417272" cy="417272"/>
                          </a:xfrm>
                          <a:prstGeom prst="rect">
                            <a:avLst/>
                          </a:prstGeom>
                        </pic:spPr>
                      </pic:pic>
                    </a:graphicData>
                  </a:graphic>
                </wp:inline>
              </w:drawing>
            </w:r>
          </w:p>
          <w:p w14:paraId="3FD6DFF1" w14:textId="65AF5A25"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Low</w:t>
            </w:r>
          </w:p>
        </w:tc>
        <w:tc>
          <w:tcPr>
            <w:tcW w:w="1608" w:type="dxa"/>
            <w:tcBorders>
              <w:top w:val="single" w:sz="4" w:space="0" w:color="000000"/>
              <w:left w:val="single" w:sz="4" w:space="0" w:color="000000"/>
              <w:bottom w:val="single" w:sz="4" w:space="0" w:color="000000"/>
            </w:tcBorders>
          </w:tcPr>
          <w:p w14:paraId="0DB14BA3" w14:textId="77777777" w:rsidR="00710B70"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AC3F39">
              <w:rPr>
                <w:rFonts w:eastAsia="Arial"/>
                <w:noProof/>
                <w:color w:val="000000"/>
              </w:rPr>
              <w:drawing>
                <wp:inline distT="0" distB="0" distL="0" distR="0" wp14:anchorId="328D6266" wp14:editId="7504AB0F">
                  <wp:extent cx="320040" cy="320040"/>
                  <wp:effectExtent l="0" t="0" r="3810" b="3810"/>
                  <wp:docPr id="2071302947" name="Graphic 9" descr="Circle with left arrow with solid fill">
                    <a:extLst xmlns:a="http://schemas.openxmlformats.org/drawingml/2006/main">
                      <a:ext uri="{FF2B5EF4-FFF2-40B4-BE49-F238E27FC236}">
                        <a16:creationId xmlns:a16="http://schemas.microsoft.com/office/drawing/2014/main" id="{2900D170-4177-1FA5-91EF-9AC0D24E4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ircle with left arrow with solid fill">
                            <a:extLst>
                              <a:ext uri="{FF2B5EF4-FFF2-40B4-BE49-F238E27FC236}">
                                <a16:creationId xmlns:a16="http://schemas.microsoft.com/office/drawing/2014/main" id="{2900D170-4177-1FA5-91EF-9AC0D24E4429}"/>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0" y="0"/>
                            <a:ext cx="320040" cy="320040"/>
                          </a:xfrm>
                          <a:prstGeom prst="rect">
                            <a:avLst/>
                          </a:prstGeom>
                        </pic:spPr>
                      </pic:pic>
                    </a:graphicData>
                  </a:graphic>
                </wp:inline>
              </w:drawing>
            </w:r>
          </w:p>
          <w:p w14:paraId="315A0901" w14:textId="50C416F3" w:rsidR="00E05DE3" w:rsidRPr="00E300D7"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E300D7">
              <w:rPr>
                <w:rFonts w:eastAsia="Arial"/>
                <w:color w:val="000000"/>
              </w:rPr>
              <w:t>Moderate</w:t>
            </w:r>
          </w:p>
        </w:tc>
        <w:tc>
          <w:tcPr>
            <w:tcW w:w="1877" w:type="dxa"/>
            <w:tcBorders>
              <w:top w:val="single" w:sz="4" w:space="0" w:color="000000"/>
              <w:left w:val="single" w:sz="4" w:space="0" w:color="000000"/>
              <w:bottom w:val="single" w:sz="4" w:space="0" w:color="000000"/>
              <w:right w:val="single" w:sz="4" w:space="0" w:color="000000"/>
            </w:tcBorders>
          </w:tcPr>
          <w:p w14:paraId="74F5577B" w14:textId="77777777" w:rsidR="00E05DE3" w:rsidRDefault="00E05DE3" w:rsidP="00E05DE3">
            <w:pPr>
              <w:widowControl w:val="0"/>
              <w:pBdr>
                <w:top w:val="nil"/>
                <w:left w:val="nil"/>
                <w:bottom w:val="nil"/>
                <w:right w:val="nil"/>
                <w:between w:val="nil"/>
              </w:pBdr>
              <w:spacing w:before="120" w:after="120" w:line="360" w:lineRule="auto"/>
              <w:jc w:val="center"/>
              <w:rPr>
                <w:rFonts w:eastAsia="Arial"/>
                <w:color w:val="000000"/>
              </w:rPr>
            </w:pPr>
            <w:r w:rsidRPr="00413EA6">
              <w:rPr>
                <w:rFonts w:eastAsia="Arial"/>
                <w:color w:val="000000"/>
              </w:rPr>
              <w:t xml:space="preserve">Limited </w:t>
            </w:r>
            <w:r w:rsidR="00B010E0" w:rsidRPr="00413EA6">
              <w:rPr>
                <w:rFonts w:eastAsia="Arial"/>
                <w:color w:val="000000"/>
              </w:rPr>
              <w:t>reimbursement</w:t>
            </w:r>
          </w:p>
          <w:p w14:paraId="661826C8" w14:textId="58AAB715" w:rsidR="001B7B8A" w:rsidRPr="00E300D7" w:rsidRDefault="001B7B8A" w:rsidP="00E05DE3">
            <w:pPr>
              <w:widowControl w:val="0"/>
              <w:pBdr>
                <w:top w:val="nil"/>
                <w:left w:val="nil"/>
                <w:bottom w:val="nil"/>
                <w:right w:val="nil"/>
                <w:between w:val="nil"/>
              </w:pBdr>
              <w:spacing w:before="120" w:after="120" w:line="360" w:lineRule="auto"/>
              <w:jc w:val="center"/>
              <w:rPr>
                <w:rFonts w:eastAsia="Arial"/>
                <w:color w:val="000000"/>
              </w:rPr>
            </w:pPr>
            <w:r w:rsidRPr="001B7B8A">
              <w:rPr>
                <w:rFonts w:eastAsia="Arial"/>
                <w:color w:val="000000"/>
              </w:rPr>
              <w:t>Long waiting times depending on region</w:t>
            </w:r>
          </w:p>
        </w:tc>
      </w:tr>
    </w:tbl>
    <w:p w14:paraId="0000015E" w14:textId="77777777" w:rsidR="00625C02" w:rsidRPr="00E300D7" w:rsidRDefault="00625C02">
      <w:pPr>
        <w:spacing w:before="120" w:after="120" w:line="360" w:lineRule="auto"/>
      </w:pPr>
    </w:p>
    <w:p w14:paraId="0000015F" w14:textId="6CB94CC3"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Much of this disparity in patient access and care is due to underinvestment in healthcare and inefficient resource allocation. On average, one person in CEE countries will have benefitted from €26,000 less in public healthcare spending between 2000-2017 compared to someone in the EU5.</w:t>
      </w:r>
      <w:r w:rsidR="00381F24">
        <w:rPr>
          <w:rFonts w:eastAsia="Arial"/>
          <w:color w:val="000000"/>
          <w:vertAlign w:val="superscript"/>
        </w:rPr>
        <w:t>36</w:t>
      </w:r>
      <w:r w:rsidRPr="00E300D7">
        <w:rPr>
          <w:rFonts w:eastAsia="Arial"/>
          <w:color w:val="000000"/>
        </w:rPr>
        <w:t xml:space="preserve"> Across CEE, public funding and reimbursement policies for advanced diagnostic tools, such as OCT and fluorescein angiography vary widely. This exacerbates the inconsistencies across the region contributing to longer delays to treatment, particularly in rural areas, and negatively impacting patient outcomes.</w:t>
      </w:r>
      <w:r w:rsidR="00381F24">
        <w:rPr>
          <w:rFonts w:eastAsia="Arial"/>
          <w:color w:val="000000"/>
          <w:vertAlign w:val="superscript"/>
        </w:rPr>
        <w:t>2,6,9</w:t>
      </w:r>
    </w:p>
    <w:p w14:paraId="00000160" w14:textId="3CF92BD2"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In primary care, AMD and D</w:t>
      </w:r>
      <w:r w:rsidR="000C7F69">
        <w:rPr>
          <w:rFonts w:eastAsia="Arial"/>
          <w:color w:val="000000"/>
        </w:rPr>
        <w:t>R</w:t>
      </w:r>
      <w:r w:rsidRPr="00E300D7">
        <w:rPr>
          <w:rFonts w:eastAsia="Arial"/>
          <w:color w:val="000000"/>
        </w:rPr>
        <w:t xml:space="preserve"> are often under-prioritised due to competing health demands and limited integration of visual health into national preventive frameworks.</w:t>
      </w:r>
      <w:r w:rsidR="004150B6">
        <w:rPr>
          <w:rFonts w:eastAsia="Arial"/>
          <w:color w:val="000000"/>
          <w:vertAlign w:val="superscript"/>
        </w:rPr>
        <w:t>6,9,37</w:t>
      </w:r>
      <w:r w:rsidRPr="00E300D7">
        <w:rPr>
          <w:rFonts w:eastAsia="Arial"/>
          <w:color w:val="000000"/>
        </w:rPr>
        <w:t xml:space="preserve"> This is further compounded by the lack of knowledge and awareness around vision health among at-risk populations and non-ophthalmic clinicians at the frontline of care.</w:t>
      </w:r>
      <w:r w:rsidR="004150B6">
        <w:rPr>
          <w:rFonts w:eastAsia="Arial"/>
          <w:color w:val="000000"/>
          <w:vertAlign w:val="superscript"/>
        </w:rPr>
        <w:t>37</w:t>
      </w:r>
    </w:p>
    <w:p w14:paraId="00000161" w14:textId="3D7C1B49"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Referral systems are often inefficient and poorly designed, further fragmenting patient care.</w:t>
      </w:r>
      <w:r w:rsidR="00BA5373">
        <w:rPr>
          <w:rFonts w:eastAsia="Arial"/>
          <w:color w:val="000000"/>
          <w:vertAlign w:val="superscript"/>
        </w:rPr>
        <w:t>37</w:t>
      </w:r>
      <w:r w:rsidRPr="00E300D7">
        <w:rPr>
          <w:rFonts w:eastAsia="Arial"/>
          <w:color w:val="000000"/>
        </w:rPr>
        <w:t xml:space="preserve"> Access to care is additionally challenged by insufficient diagnosis and treatment infrastructure.</w:t>
      </w:r>
      <w:r w:rsidR="004150B6">
        <w:rPr>
          <w:rFonts w:eastAsia="Arial"/>
          <w:color w:val="000000"/>
          <w:vertAlign w:val="superscript"/>
        </w:rPr>
        <w:t>37</w:t>
      </w:r>
      <w:r w:rsidRPr="00E300D7">
        <w:rPr>
          <w:rFonts w:eastAsia="Arial"/>
          <w:color w:val="000000"/>
        </w:rPr>
        <w:t xml:space="preserve"> This is especially true in resource-limited settings where there are significant gaps in diagnosis training, therapeutic innovations and </w:t>
      </w:r>
      <w:r w:rsidRPr="00E300D7">
        <w:rPr>
          <w:rFonts w:eastAsia="Arial"/>
          <w:color w:val="000000"/>
        </w:rPr>
        <w:lastRenderedPageBreak/>
        <w:t>guideline-aligned care.</w:t>
      </w:r>
      <w:r w:rsidR="004150B6">
        <w:rPr>
          <w:rFonts w:eastAsia="Arial"/>
          <w:color w:val="000000"/>
          <w:vertAlign w:val="superscript"/>
        </w:rPr>
        <w:t>6</w:t>
      </w:r>
    </w:p>
    <w:p w14:paraId="00000162" w14:textId="487F10C2"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There is limited evidence of national strategies specifically targeting</w:t>
      </w:r>
      <w:r w:rsidR="00EB4481">
        <w:rPr>
          <w:rFonts w:eastAsia="Arial"/>
          <w:color w:val="000000"/>
        </w:rPr>
        <w:t xml:space="preserve"> age-related</w:t>
      </w:r>
      <w:r w:rsidRPr="00E300D7">
        <w:rPr>
          <w:rFonts w:eastAsia="Arial"/>
          <w:color w:val="000000"/>
        </w:rPr>
        <w:t xml:space="preserve"> retinal diseases or vision health. Discussions around AMD and D</w:t>
      </w:r>
      <w:r w:rsidR="000C7F69">
        <w:rPr>
          <w:rFonts w:eastAsia="Arial"/>
          <w:color w:val="000000"/>
        </w:rPr>
        <w:t>R</w:t>
      </w:r>
      <w:r w:rsidRPr="00E300D7">
        <w:rPr>
          <w:rFonts w:eastAsia="Arial"/>
          <w:color w:val="000000"/>
        </w:rPr>
        <w:t xml:space="preserve"> often focus on treatment innovations, patient education, and accessibility to care, but comprehensive national policies remain scarce. </w:t>
      </w:r>
      <w:r w:rsidR="004150B6">
        <w:rPr>
          <w:rFonts w:eastAsia="Arial"/>
          <w:color w:val="000000"/>
          <w:vertAlign w:val="superscript"/>
        </w:rPr>
        <w:t>35,37</w:t>
      </w:r>
      <w:r w:rsidRPr="00E300D7">
        <w:rPr>
          <w:rFonts w:eastAsia="Arial"/>
          <w:color w:val="000000"/>
        </w:rPr>
        <w:t xml:space="preserve"> The result is a persistent cycle of late diagnosis and irreversible vision loss</w:t>
      </w:r>
      <w:r w:rsidRPr="00E300D7">
        <w:rPr>
          <w:rFonts w:eastAsia="Arial"/>
        </w:rPr>
        <w:t xml:space="preserve">  ̶  </w:t>
      </w:r>
      <w:r w:rsidRPr="00E300D7">
        <w:rPr>
          <w:rFonts w:eastAsia="Arial"/>
          <w:color w:val="000000"/>
        </w:rPr>
        <w:t>despite the availability of treatments that could prevent blindness if accessed in time.</w:t>
      </w:r>
    </w:p>
    <w:p w14:paraId="00000163" w14:textId="2D7C8F6E"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b/>
          <w:color w:val="000000"/>
        </w:rPr>
        <w:t>3.</w:t>
      </w:r>
      <w:r w:rsidRPr="00E300D7">
        <w:rPr>
          <w:rFonts w:eastAsia="Arial"/>
          <w:b/>
        </w:rPr>
        <w:t>2</w:t>
      </w:r>
      <w:r w:rsidRPr="00E300D7">
        <w:rPr>
          <w:rFonts w:eastAsia="Arial"/>
          <w:b/>
          <w:color w:val="000000"/>
        </w:rPr>
        <w:t>.3 Access to treatment and socioeconomic inequalities</w:t>
      </w:r>
    </w:p>
    <w:p w14:paraId="00000164" w14:textId="0E4982C8"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Access to and reimbursement for effective therapies vary widely, causing large delays in treatment initiation leading to high numbers of untreated or inadequately treated patients.</w:t>
      </w:r>
      <w:r w:rsidR="004150B6">
        <w:rPr>
          <w:rFonts w:eastAsia="Arial"/>
          <w:color w:val="000000"/>
          <w:vertAlign w:val="superscript"/>
        </w:rPr>
        <w:t>6</w:t>
      </w:r>
      <w:r w:rsidRPr="00E300D7">
        <w:rPr>
          <w:rFonts w:eastAsia="Arial"/>
          <w:color w:val="000000"/>
        </w:rPr>
        <w:t xml:space="preserve"> Despite comprehensive licensing and reimbursement at a national or regional level, not all patients in Europe have equal access to anti-VEGF therapies.</w:t>
      </w:r>
      <w:r w:rsidR="004150B6">
        <w:rPr>
          <w:rFonts w:eastAsia="Arial"/>
          <w:color w:val="000000"/>
          <w:vertAlign w:val="superscript"/>
        </w:rPr>
        <w:t>6</w:t>
      </w:r>
    </w:p>
    <w:p w14:paraId="00000165" w14:textId="676BC3D0"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Large intercountry variations in approval and reimbursement policies contribute to a significant lag in treatment approvals and their inclusion in national reimbursement lists.</w:t>
      </w:r>
      <w:r w:rsidR="004150B6">
        <w:rPr>
          <w:rFonts w:eastAsia="Arial"/>
          <w:color w:val="000000"/>
          <w:vertAlign w:val="superscript"/>
        </w:rPr>
        <w:t>6</w:t>
      </w:r>
      <w:r w:rsidRPr="00E300D7">
        <w:rPr>
          <w:rFonts w:eastAsia="Arial"/>
          <w:color w:val="000000"/>
        </w:rPr>
        <w:t xml:space="preserve"> In some countries, this gap exceeds 12 to 24 months, often ensuring patients continue to be prescribed older and less effective or convenient medications.</w:t>
      </w:r>
      <w:r w:rsidR="007749FA">
        <w:rPr>
          <w:rFonts w:eastAsia="Arial"/>
          <w:color w:val="000000"/>
          <w:vertAlign w:val="superscript"/>
        </w:rPr>
        <w:t>36,38</w:t>
      </w:r>
    </w:p>
    <w:p w14:paraId="00000166" w14:textId="3C71006F" w:rsidR="00625C02" w:rsidRPr="00E300D7" w:rsidRDefault="00356EAE">
      <w:pPr>
        <w:widowControl w:val="0"/>
        <w:pBdr>
          <w:top w:val="nil"/>
          <w:left w:val="nil"/>
          <w:bottom w:val="nil"/>
          <w:right w:val="nil"/>
          <w:between w:val="nil"/>
        </w:pBdr>
        <w:spacing w:before="120" w:after="120" w:line="360" w:lineRule="auto"/>
        <w:rPr>
          <w:rFonts w:eastAsia="Arial"/>
          <w:color w:val="000000"/>
        </w:rPr>
      </w:pPr>
      <w:r>
        <w:rPr>
          <w:rFonts w:eastAsia="Arial"/>
          <w:color w:val="000000"/>
        </w:rPr>
        <w:t>Most c</w:t>
      </w:r>
      <w:r w:rsidR="00A22398" w:rsidRPr="00E300D7">
        <w:rPr>
          <w:rFonts w:eastAsia="Arial"/>
          <w:color w:val="000000"/>
        </w:rPr>
        <w:t>ountries in CEE do not have clinical practice guidelines on the treatment of AMD and D</w:t>
      </w:r>
      <w:r w:rsidR="000C7F69">
        <w:rPr>
          <w:rFonts w:eastAsia="Arial"/>
          <w:color w:val="000000"/>
        </w:rPr>
        <w:t>R</w:t>
      </w:r>
      <w:r w:rsidR="00A22398" w:rsidRPr="00E300D7">
        <w:rPr>
          <w:rFonts w:eastAsia="Arial"/>
          <w:color w:val="000000"/>
        </w:rPr>
        <w:t>, despite anti-VEGF agents being increasingly included on national healthcare medicine lists.</w:t>
      </w:r>
      <w:r w:rsidR="007749FA">
        <w:rPr>
          <w:rFonts w:eastAsia="Arial"/>
          <w:color w:val="000000"/>
          <w:vertAlign w:val="superscript"/>
        </w:rPr>
        <w:t>6</w:t>
      </w:r>
      <w:r w:rsidR="00A22398" w:rsidRPr="00E300D7">
        <w:rPr>
          <w:rFonts w:eastAsia="Arial"/>
          <w:color w:val="000000"/>
        </w:rPr>
        <w:t xml:space="preserve"> Some countries (e.g., Romania) do not currently reimburse existing or newly emerging treatments, whereas other countries reimburse for specific indications or limited populations (e.g., Poland).</w:t>
      </w:r>
      <w:r w:rsidR="007749FA">
        <w:rPr>
          <w:rFonts w:eastAsia="Arial"/>
          <w:color w:val="000000"/>
          <w:vertAlign w:val="superscript"/>
        </w:rPr>
        <w:t>6</w:t>
      </w:r>
      <w:r w:rsidR="00A22398" w:rsidRPr="00E300D7">
        <w:rPr>
          <w:rFonts w:eastAsia="Arial"/>
          <w:color w:val="000000"/>
        </w:rPr>
        <w:t xml:space="preserve"> </w:t>
      </w:r>
    </w:p>
    <w:p w14:paraId="00000167" w14:textId="0846F9AC"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Patients of lower socioeconomic status encounter more barriers to care, including cost of care services, treatment, transportation, and time. Even in countries with universal health coverage, the cost of diagnostic tests, follow-up appointments, or assistive equipment may not be fully covered, especially in private centres where waiting times are shorter.</w:t>
      </w:r>
      <w:r w:rsidR="007749FA">
        <w:rPr>
          <w:rFonts w:eastAsia="Arial"/>
          <w:color w:val="000000"/>
          <w:vertAlign w:val="superscript"/>
        </w:rPr>
        <w:t>1,31</w:t>
      </w:r>
      <w:r w:rsidRPr="00E300D7">
        <w:rPr>
          <w:rFonts w:eastAsia="Arial"/>
          <w:color w:val="000000"/>
        </w:rPr>
        <w:t xml:space="preserve"> For such patients, resource costs and time constraints often outweigh perceived health risk, leading to avoidance or delay in care. In some cases, linguistic differences, exclusion in the digital world, or inadequate access to reliable health information can additionally marginalize vulnerable groups such as </w:t>
      </w:r>
      <w:r w:rsidRPr="00E300D7">
        <w:rPr>
          <w:rFonts w:eastAsia="Arial"/>
        </w:rPr>
        <w:t>seniors</w:t>
      </w:r>
      <w:r w:rsidRPr="00E300D7">
        <w:rPr>
          <w:rFonts w:eastAsia="Arial"/>
          <w:color w:val="000000"/>
        </w:rPr>
        <w:t>, Roma groups, and migrants.</w:t>
      </w:r>
      <w:r w:rsidR="007749FA">
        <w:rPr>
          <w:rFonts w:eastAsia="Arial"/>
          <w:color w:val="000000"/>
          <w:vertAlign w:val="superscript"/>
        </w:rPr>
        <w:t>9</w:t>
      </w:r>
    </w:p>
    <w:p w14:paraId="00000168" w14:textId="7CBC5142"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 xml:space="preserve">The financial burden of newer medications, including anti-VEGF injections, is substantial. A single intravitreal injection of anti-VEGF therapy </w:t>
      </w:r>
      <w:r w:rsidR="003C1FFB">
        <w:rPr>
          <w:rFonts w:eastAsia="Arial"/>
          <w:color w:val="000000"/>
        </w:rPr>
        <w:t>may</w:t>
      </w:r>
      <w:r w:rsidR="007749FA">
        <w:rPr>
          <w:rFonts w:eastAsia="Arial"/>
          <w:color w:val="000000"/>
        </w:rPr>
        <w:t xml:space="preserve"> </w:t>
      </w:r>
      <w:r w:rsidRPr="00E300D7">
        <w:rPr>
          <w:rFonts w:eastAsia="Arial"/>
          <w:color w:val="000000"/>
        </w:rPr>
        <w:t>cost between €400–€800 per eye, with monthly administration often required in the first year of treatment.</w:t>
      </w:r>
      <w:r w:rsidR="00E225F6">
        <w:rPr>
          <w:rFonts w:eastAsia="Arial"/>
          <w:color w:val="000000"/>
          <w:vertAlign w:val="superscript"/>
        </w:rPr>
        <w:t>2</w:t>
      </w:r>
      <w:r w:rsidRPr="00E300D7">
        <w:rPr>
          <w:rFonts w:eastAsia="Arial"/>
          <w:color w:val="000000"/>
        </w:rPr>
        <w:t xml:space="preserve"> In countries where public coverage is partial or delayed</w:t>
      </w:r>
      <w:r w:rsidRPr="00E300D7">
        <w:rPr>
          <w:rFonts w:eastAsia="Arial"/>
        </w:rPr>
        <w:t xml:space="preserve">  ̶  </w:t>
      </w:r>
      <w:r w:rsidRPr="00E300D7">
        <w:rPr>
          <w:rFonts w:eastAsia="Arial"/>
          <w:color w:val="000000"/>
        </w:rPr>
        <w:t>such as Romania, Bulgaria, and parts of Poland</w:t>
      </w:r>
      <w:r w:rsidRPr="00E300D7">
        <w:rPr>
          <w:rFonts w:eastAsia="Arial"/>
        </w:rPr>
        <w:t xml:space="preserve">  ̶  </w:t>
      </w:r>
      <w:r w:rsidRPr="00E300D7">
        <w:rPr>
          <w:rFonts w:eastAsia="Arial"/>
          <w:color w:val="000000"/>
        </w:rPr>
        <w:t>patients report cumulative out-of-pocket costs exceeding €5,000 annually, an expense that is simply unaffordable for the majority.</w:t>
      </w:r>
      <w:r w:rsidR="00E225F6">
        <w:rPr>
          <w:rFonts w:eastAsia="Arial"/>
          <w:color w:val="000000"/>
          <w:vertAlign w:val="superscript"/>
        </w:rPr>
        <w:t>2,6</w:t>
      </w:r>
    </w:p>
    <w:p w14:paraId="00000169" w14:textId="1D51C65B"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Evidence shows that delayed initiation of anti-VEGF therapy is associated with irreversible vision loss, higher long-term healthcare costs, and greater disability-adjusted life years (DALYs) lost, ultimately leading to poorer quality of life.</w:t>
      </w:r>
      <w:r w:rsidR="00E225F6">
        <w:rPr>
          <w:rFonts w:eastAsia="Arial"/>
          <w:color w:val="000000"/>
          <w:vertAlign w:val="superscript"/>
        </w:rPr>
        <w:t>1,</w:t>
      </w:r>
      <w:r w:rsidR="00663F4C" w:rsidRPr="00663F4C">
        <w:rPr>
          <w:rFonts w:eastAsia="Arial"/>
          <w:color w:val="000000"/>
          <w:vertAlign w:val="superscript"/>
        </w:rPr>
        <w:t xml:space="preserve"> </w:t>
      </w:r>
      <w:r w:rsidR="00663F4C">
        <w:rPr>
          <w:rFonts w:eastAsia="Arial"/>
          <w:color w:val="000000"/>
          <w:vertAlign w:val="superscript"/>
        </w:rPr>
        <w:t>6,11,</w:t>
      </w:r>
      <w:r w:rsidR="00E225F6">
        <w:rPr>
          <w:rFonts w:eastAsia="Arial"/>
          <w:color w:val="000000"/>
          <w:vertAlign w:val="superscript"/>
        </w:rPr>
        <w:t>22,</w:t>
      </w:r>
      <w:r w:rsidR="00663F4C">
        <w:rPr>
          <w:rFonts w:eastAsia="Arial"/>
          <w:color w:val="000000"/>
          <w:vertAlign w:val="superscript"/>
        </w:rPr>
        <w:t>37</w:t>
      </w:r>
    </w:p>
    <w:p w14:paraId="0000016A" w14:textId="53683C24" w:rsidR="00625C02" w:rsidRPr="00E300D7" w:rsidRDefault="00A22398">
      <w:pPr>
        <w:spacing w:line="360" w:lineRule="auto"/>
        <w:rPr>
          <w:rFonts w:eastAsia="Arial"/>
        </w:rPr>
      </w:pPr>
      <w:r w:rsidRPr="00E300D7">
        <w:rPr>
          <w:rFonts w:eastAsia="Arial"/>
        </w:rPr>
        <w:lastRenderedPageBreak/>
        <w:t>CEE countries must address structural and social determinants, geographic disparities, professional and public awareness, age-related attitudes, and socioeconomic inequalities in order to significantly increase early diagnosis rates and fair access to treatment for</w:t>
      </w:r>
      <w:r w:rsidR="00EB4481">
        <w:rPr>
          <w:rFonts w:eastAsia="Arial"/>
        </w:rPr>
        <w:t xml:space="preserve"> age-related</w:t>
      </w:r>
      <w:r w:rsidRPr="00E300D7">
        <w:rPr>
          <w:rFonts w:eastAsia="Arial"/>
        </w:rPr>
        <w:t xml:space="preserve"> retinal diseases.</w:t>
      </w:r>
      <w:r w:rsidR="00663F4C">
        <w:rPr>
          <w:rFonts w:eastAsia="Arial"/>
          <w:vertAlign w:val="superscript"/>
        </w:rPr>
        <w:t>10</w:t>
      </w:r>
      <w:r w:rsidRPr="00E300D7">
        <w:rPr>
          <w:rFonts w:eastAsia="Arial"/>
        </w:rPr>
        <w:t xml:space="preserve"> Policy-making responses should therefore give utmost priority to decentralisation of overly concentrated care, patient and GP education, and removal of cost and access barriers in disadvantaged areas. </w:t>
      </w:r>
    </w:p>
    <w:p w14:paraId="0000016B"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b/>
          <w:color w:val="000000"/>
        </w:rPr>
        <w:t>3.3 The inconsistencies in the patient pathway: country-specific examples</w:t>
      </w:r>
    </w:p>
    <w:p w14:paraId="0000016C" w14:textId="0DC930FC"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 xml:space="preserve">Healthcare infrastructure, reimbursement policies and specialist availability influence patient care pathways. The examples </w:t>
      </w:r>
      <w:r w:rsidR="008F699E" w:rsidRPr="00E300D7">
        <w:rPr>
          <w:rFonts w:eastAsia="Arial"/>
          <w:color w:val="000000"/>
        </w:rPr>
        <w:t xml:space="preserve">listed in </w:t>
      </w:r>
      <w:r w:rsidR="004461E5">
        <w:rPr>
          <w:rFonts w:eastAsia="Arial"/>
          <w:color w:val="000000"/>
        </w:rPr>
        <w:t xml:space="preserve">Table 1 </w:t>
      </w:r>
      <w:r w:rsidRPr="00E300D7">
        <w:rPr>
          <w:rFonts w:eastAsia="Arial"/>
          <w:color w:val="000000"/>
        </w:rPr>
        <w:t>represent some of the key differences between countries in the CEE region</w:t>
      </w:r>
      <w:r w:rsidR="008F699E" w:rsidRPr="00E300D7">
        <w:rPr>
          <w:rFonts w:eastAsia="Arial"/>
          <w:color w:val="000000"/>
        </w:rPr>
        <w:t>.</w:t>
      </w:r>
    </w:p>
    <w:p w14:paraId="00000173" w14:textId="6A9CD792" w:rsidR="00625C02" w:rsidRDefault="001E02A3">
      <w:pPr>
        <w:widowControl w:val="0"/>
        <w:pBdr>
          <w:top w:val="nil"/>
          <w:left w:val="nil"/>
          <w:bottom w:val="nil"/>
          <w:right w:val="nil"/>
          <w:between w:val="nil"/>
        </w:pBdr>
        <w:spacing w:before="120" w:after="120" w:line="360" w:lineRule="auto"/>
        <w:rPr>
          <w:rFonts w:eastAsia="Arial"/>
          <w:color w:val="000000"/>
          <w:vertAlign w:val="superscript"/>
        </w:rPr>
      </w:pPr>
      <w:r w:rsidRPr="001E02A3">
        <w:rPr>
          <w:rFonts w:eastAsia="Arial"/>
          <w:noProof/>
          <w:color w:val="000000"/>
          <w:vertAlign w:val="superscript"/>
        </w:rPr>
        <mc:AlternateContent>
          <mc:Choice Requires="wps">
            <w:drawing>
              <wp:anchor distT="45720" distB="45720" distL="114300" distR="114300" simplePos="0" relativeHeight="251658240" behindDoc="0" locked="0" layoutInCell="1" allowOverlap="1" wp14:anchorId="73B4EE89" wp14:editId="01ABC4DD">
                <wp:simplePos x="0" y="0"/>
                <wp:positionH relativeFrom="column">
                  <wp:posOffset>20955</wp:posOffset>
                </wp:positionH>
                <wp:positionV relativeFrom="paragraph">
                  <wp:posOffset>1275080</wp:posOffset>
                </wp:positionV>
                <wp:extent cx="5962650" cy="6248400"/>
                <wp:effectExtent l="0" t="0" r="19050" b="19050"/>
                <wp:wrapSquare wrapText="bothSides"/>
                <wp:docPr id="783236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248400"/>
                        </a:xfrm>
                        <a:prstGeom prst="rect">
                          <a:avLst/>
                        </a:prstGeom>
                        <a:solidFill>
                          <a:srgbClr val="FFFFFF"/>
                        </a:solidFill>
                        <a:ln w="9525">
                          <a:solidFill>
                            <a:srgbClr val="000000"/>
                          </a:solidFill>
                          <a:miter lim="800000"/>
                          <a:headEnd/>
                          <a:tailEnd/>
                        </a:ln>
                      </wps:spPr>
                      <wps:txbx>
                        <w:txbxContent>
                          <w:p w14:paraId="797B23D7" w14:textId="2E12B81D" w:rsidR="001E02A3" w:rsidRPr="001E02A3" w:rsidRDefault="001E02A3" w:rsidP="001E02A3">
                            <w:pPr>
                              <w:rPr>
                                <w:b/>
                                <w:bCs/>
                                <w:lang w:val="en-US"/>
                              </w:rPr>
                            </w:pPr>
                            <w:r>
                              <w:rPr>
                                <w:b/>
                                <w:bCs/>
                                <w:lang w:val="en-US"/>
                              </w:rPr>
                              <w:t xml:space="preserve">Best practice </w:t>
                            </w:r>
                            <w:r w:rsidR="0034296E">
                              <w:rPr>
                                <w:b/>
                                <w:bCs/>
                                <w:lang w:val="en-US"/>
                              </w:rPr>
                              <w:t>c</w:t>
                            </w:r>
                            <w:r w:rsidRPr="001E02A3">
                              <w:rPr>
                                <w:b/>
                                <w:bCs/>
                                <w:lang w:val="en-US"/>
                              </w:rPr>
                              <w:t>ase</w:t>
                            </w:r>
                            <w:r w:rsidR="0034296E">
                              <w:rPr>
                                <w:b/>
                                <w:bCs/>
                                <w:lang w:val="en-US"/>
                              </w:rPr>
                              <w:t xml:space="preserve"> s</w:t>
                            </w:r>
                            <w:r w:rsidRPr="001E02A3">
                              <w:rPr>
                                <w:b/>
                                <w:bCs/>
                                <w:lang w:val="en-US"/>
                              </w:rPr>
                              <w:t>tudy</w:t>
                            </w:r>
                            <w:r w:rsidR="0034296E">
                              <w:rPr>
                                <w:b/>
                                <w:bCs/>
                                <w:lang w:val="en-US"/>
                              </w:rPr>
                              <w:t xml:space="preserve"> from</w:t>
                            </w:r>
                            <w:r w:rsidRPr="001E02A3">
                              <w:rPr>
                                <w:b/>
                                <w:bCs/>
                                <w:lang w:val="en-US"/>
                              </w:rPr>
                              <w:t xml:space="preserve"> Slovenia</w:t>
                            </w:r>
                            <w:r w:rsidR="00624AD2">
                              <w:rPr>
                                <w:b/>
                                <w:bCs/>
                                <w:lang w:val="en-US"/>
                              </w:rPr>
                              <w:t>: s</w:t>
                            </w:r>
                            <w:r w:rsidRPr="001E02A3">
                              <w:rPr>
                                <w:b/>
                                <w:bCs/>
                                <w:lang w:val="en-US"/>
                              </w:rPr>
                              <w:t xml:space="preserve">ystemic </w:t>
                            </w:r>
                            <w:r w:rsidR="00624AD2">
                              <w:rPr>
                                <w:b/>
                                <w:bCs/>
                                <w:lang w:val="en-US"/>
                              </w:rPr>
                              <w:t>i</w:t>
                            </w:r>
                            <w:r w:rsidRPr="001E02A3">
                              <w:rPr>
                                <w:b/>
                                <w:bCs/>
                                <w:lang w:val="en-US"/>
                              </w:rPr>
                              <w:t xml:space="preserve">nterventions </w:t>
                            </w:r>
                            <w:r w:rsidR="00624AD2">
                              <w:rPr>
                                <w:b/>
                                <w:bCs/>
                                <w:lang w:val="en-US"/>
                              </w:rPr>
                              <w:t>s</w:t>
                            </w:r>
                            <w:r w:rsidRPr="001E02A3">
                              <w:rPr>
                                <w:b/>
                                <w:bCs/>
                                <w:lang w:val="en-US"/>
                              </w:rPr>
                              <w:t xml:space="preserve">upporting </w:t>
                            </w:r>
                            <w:r w:rsidR="00624AD2">
                              <w:rPr>
                                <w:b/>
                                <w:bCs/>
                                <w:lang w:val="en-US"/>
                              </w:rPr>
                              <w:t>v</w:t>
                            </w:r>
                            <w:r w:rsidRPr="001E02A3">
                              <w:rPr>
                                <w:b/>
                                <w:bCs/>
                                <w:lang w:val="en-US"/>
                              </w:rPr>
                              <w:t xml:space="preserve">ision </w:t>
                            </w:r>
                            <w:r w:rsidR="00624AD2">
                              <w:rPr>
                                <w:b/>
                                <w:bCs/>
                                <w:lang w:val="en-US"/>
                              </w:rPr>
                              <w:t>h</w:t>
                            </w:r>
                            <w:r w:rsidRPr="001E02A3">
                              <w:rPr>
                                <w:b/>
                                <w:bCs/>
                                <w:lang w:val="en-US"/>
                              </w:rPr>
                              <w:t>ealth</w:t>
                            </w:r>
                          </w:p>
                          <w:p w14:paraId="041ADC6E" w14:textId="77777777" w:rsidR="001E02A3" w:rsidRPr="001E02A3" w:rsidRDefault="001E02A3" w:rsidP="001E02A3">
                            <w:pPr>
                              <w:rPr>
                                <w:lang w:val="en-US"/>
                              </w:rPr>
                            </w:pPr>
                            <w:r w:rsidRPr="001E02A3">
                              <w:rPr>
                                <w:lang w:val="en-US"/>
                              </w:rPr>
                              <w:t>Slovenia demonstrates how a country can achieve equitable access to vision care through coordinated systemic interventions. Universal health coverage via the Health Insurance Institute of Slovenia ensures that, once reimbursed, all diagnostic procedures and treatments are financially accessible to patients.</w:t>
                            </w:r>
                          </w:p>
                          <w:p w14:paraId="15871C0A" w14:textId="77777777" w:rsidR="001E02A3" w:rsidRPr="00002620" w:rsidRDefault="001E02A3" w:rsidP="001E02A3">
                            <w:pPr>
                              <w:rPr>
                                <w:b/>
                                <w:lang w:val="en-US"/>
                              </w:rPr>
                            </w:pPr>
                            <w:r w:rsidRPr="001E02A3">
                              <w:rPr>
                                <w:lang w:val="en-US"/>
                              </w:rPr>
                              <w:t>To minimize regional disparities, a </w:t>
                            </w:r>
                            <w:r w:rsidRPr="001E02A3">
                              <w:rPr>
                                <w:b/>
                                <w:bCs/>
                                <w:lang w:val="en-US"/>
                              </w:rPr>
                              <w:t>network of specialised ophthalmic centres</w:t>
                            </w:r>
                            <w:r w:rsidRPr="001E02A3">
                              <w:rPr>
                                <w:lang w:val="en-US"/>
                              </w:rPr>
                              <w:t xml:space="preserve"> was established, anchored by the Eye Hospital at the University Medical Centre Ljubljana, with additional centres in Maribor and regional hospitals. This model </w:t>
                            </w:r>
                            <w:r w:rsidRPr="00002620">
                              <w:rPr>
                                <w:b/>
                                <w:lang w:val="en-US"/>
                              </w:rPr>
                              <w:t>reduces geographic inequalities</w:t>
                            </w:r>
                            <w:r w:rsidRPr="001E02A3">
                              <w:rPr>
                                <w:lang w:val="en-US"/>
                              </w:rPr>
                              <w:t xml:space="preserve"> and </w:t>
                            </w:r>
                            <w:r w:rsidRPr="00002620">
                              <w:rPr>
                                <w:b/>
                                <w:lang w:val="en-US"/>
                              </w:rPr>
                              <w:t>provides nationwide access to specialist care.</w:t>
                            </w:r>
                          </w:p>
                          <w:p w14:paraId="7B4B6852" w14:textId="76B010C5" w:rsidR="001E02A3" w:rsidRPr="001E02A3" w:rsidRDefault="001E02A3" w:rsidP="001E02A3">
                            <w:pPr>
                              <w:rPr>
                                <w:lang w:val="en-US"/>
                              </w:rPr>
                            </w:pPr>
                            <w:r w:rsidRPr="001E02A3">
                              <w:rPr>
                                <w:lang w:val="en-US"/>
                              </w:rPr>
                              <w:t>Slovenia has strong experience with </w:t>
                            </w:r>
                            <w:r w:rsidRPr="001E02A3">
                              <w:rPr>
                                <w:b/>
                                <w:bCs/>
                                <w:lang w:val="en-US"/>
                              </w:rPr>
                              <w:t>population-based screening programmes</w:t>
                            </w:r>
                            <w:r w:rsidRPr="001E02A3">
                              <w:rPr>
                                <w:lang w:val="en-US"/>
                              </w:rPr>
                              <w:t> (e.g., the DORA breast cancer programme) and since </w:t>
                            </w:r>
                            <w:r w:rsidRPr="00002620">
                              <w:rPr>
                                <w:lang w:val="en-US"/>
                              </w:rPr>
                              <w:t xml:space="preserve">2015 operates a </w:t>
                            </w:r>
                            <w:r w:rsidRPr="0097660A">
                              <w:rPr>
                                <w:b/>
                                <w:bCs/>
                                <w:lang w:val="en-US"/>
                              </w:rPr>
                              <w:t>national diabetic retinopathy screening programme</w:t>
                            </w:r>
                            <w:r w:rsidRPr="00241022">
                              <w:rPr>
                                <w:lang w:val="en-US"/>
                              </w:rPr>
                              <w:t>.</w:t>
                            </w:r>
                            <w:r w:rsidRPr="001E02A3">
                              <w:rPr>
                                <w:lang w:val="en-US"/>
                              </w:rPr>
                              <w:t xml:space="preserve"> It is delivered through nine regional centres with standardi</w:t>
                            </w:r>
                            <w:r w:rsidR="00D15DC6">
                              <w:rPr>
                                <w:lang w:val="en-US"/>
                              </w:rPr>
                              <w:t>s</w:t>
                            </w:r>
                            <w:r w:rsidRPr="001E02A3">
                              <w:rPr>
                                <w:lang w:val="en-US"/>
                              </w:rPr>
                              <w:t>ed protocols, unified IT systems</w:t>
                            </w:r>
                            <w:r w:rsidR="00241022">
                              <w:rPr>
                                <w:lang w:val="en-US"/>
                              </w:rPr>
                              <w:t xml:space="preserve"> </w:t>
                            </w:r>
                            <w:r w:rsidRPr="001E02A3">
                              <w:rPr>
                                <w:lang w:val="en-US"/>
                              </w:rPr>
                              <w:t>and quality assurance, demonstrating resilience even during the COVID-19 pandemic.</w:t>
                            </w:r>
                          </w:p>
                          <w:p w14:paraId="16EE16F1" w14:textId="46E08D08" w:rsidR="001E02A3" w:rsidRPr="001E02A3" w:rsidRDefault="001E02A3" w:rsidP="001E02A3">
                            <w:pPr>
                              <w:rPr>
                                <w:lang w:val="en-US"/>
                              </w:rPr>
                            </w:pPr>
                            <w:r w:rsidRPr="001E02A3">
                              <w:rPr>
                                <w:b/>
                                <w:bCs/>
                                <w:lang w:val="en-US"/>
                              </w:rPr>
                              <w:t>Access to modern anti-VEGF therapies</w:t>
                            </w:r>
                            <w:r w:rsidRPr="001E02A3">
                              <w:rPr>
                                <w:lang w:val="en-US"/>
                              </w:rPr>
                              <w:t xml:space="preserve"> in Slovenia is broad and without restrictions. Diagnostic procedures such as OCT and fluorescein angiography are </w:t>
                            </w:r>
                            <w:r w:rsidR="001F3363">
                              <w:rPr>
                                <w:lang w:val="en-US"/>
                              </w:rPr>
                              <w:t>also</w:t>
                            </w:r>
                            <w:r w:rsidRPr="001E02A3">
                              <w:rPr>
                                <w:lang w:val="en-US"/>
                              </w:rPr>
                              <w:t xml:space="preserve"> covered, allowing Slovenia to maintain high diagnosis and treatment rates for AMD and D</w:t>
                            </w:r>
                            <w:r w:rsidR="004A6DDD">
                              <w:rPr>
                                <w:lang w:val="en-US"/>
                              </w:rPr>
                              <w:t>R</w:t>
                            </w:r>
                            <w:r w:rsidRPr="001E02A3">
                              <w:rPr>
                                <w:lang w:val="en-US"/>
                              </w:rPr>
                              <w:t>.</w:t>
                            </w:r>
                          </w:p>
                          <w:p w14:paraId="46F2C67C" w14:textId="1C2B545C" w:rsidR="001E02A3" w:rsidRPr="001E02A3" w:rsidRDefault="001E02A3" w:rsidP="001E02A3">
                            <w:pPr>
                              <w:rPr>
                                <w:lang w:val="en-US"/>
                              </w:rPr>
                            </w:pPr>
                            <w:r w:rsidRPr="001E02A3">
                              <w:rPr>
                                <w:lang w:val="en-US"/>
                              </w:rPr>
                              <w:t>Additional programmes include a </w:t>
                            </w:r>
                            <w:r w:rsidRPr="001E02A3">
                              <w:rPr>
                                <w:b/>
                                <w:bCs/>
                                <w:lang w:val="en-US"/>
                              </w:rPr>
                              <w:t>national cataract management strategy</w:t>
                            </w:r>
                            <w:r w:rsidRPr="001E02A3">
                              <w:rPr>
                                <w:lang w:val="en-US"/>
                              </w:rPr>
                              <w:t>, the </w:t>
                            </w:r>
                            <w:r w:rsidRPr="001E02A3">
                              <w:rPr>
                                <w:b/>
                                <w:bCs/>
                                <w:lang w:val="en-US"/>
                              </w:rPr>
                              <w:t>National Centre for the Comprehensive Rehabilitation of the Blind and Visually Impaired</w:t>
                            </w:r>
                            <w:r w:rsidRPr="001E02A3">
                              <w:rPr>
                                <w:lang w:val="en-US"/>
                              </w:rPr>
                              <w:t>, and since </w:t>
                            </w:r>
                            <w:r w:rsidRPr="001E02A3">
                              <w:rPr>
                                <w:b/>
                                <w:bCs/>
                                <w:lang w:val="en-US"/>
                              </w:rPr>
                              <w:t>2022</w:t>
                            </w:r>
                            <w:r w:rsidR="00AD073F">
                              <w:rPr>
                                <w:b/>
                                <w:bCs/>
                                <w:lang w:val="en-US"/>
                              </w:rPr>
                              <w:t>,</w:t>
                            </w:r>
                            <w:r w:rsidRPr="001E02A3">
                              <w:rPr>
                                <w:b/>
                                <w:bCs/>
                                <w:lang w:val="en-US"/>
                              </w:rPr>
                              <w:t xml:space="preserve"> a national Register of the Blind and Visually Impaired</w:t>
                            </w:r>
                            <w:r w:rsidRPr="001E02A3">
                              <w:rPr>
                                <w:lang w:val="en-US"/>
                              </w:rPr>
                              <w:t>, strengthening long-term rehabilitation and data-driven policy planning.</w:t>
                            </w:r>
                          </w:p>
                          <w:p w14:paraId="6AB55FF5" w14:textId="0A10A640" w:rsidR="001E02A3" w:rsidRPr="001E02A3" w:rsidRDefault="001E02A3" w:rsidP="001E02A3">
                            <w:pPr>
                              <w:rPr>
                                <w:lang w:val="en-US"/>
                              </w:rPr>
                            </w:pPr>
                            <w:r w:rsidRPr="001E02A3">
                              <w:rPr>
                                <w:lang w:val="en-US"/>
                              </w:rPr>
                              <w:t xml:space="preserve">Slovenia has established itself as a positive outlier in the </w:t>
                            </w:r>
                            <w:r w:rsidR="00AD073F">
                              <w:rPr>
                                <w:lang w:val="en-US"/>
                              </w:rPr>
                              <w:t>CEE</w:t>
                            </w:r>
                            <w:r w:rsidRPr="001E02A3">
                              <w:rPr>
                                <w:lang w:val="en-US"/>
                              </w:rPr>
                              <w:t xml:space="preserve"> region. Based on expert reporting and health system structure, diagnosis and treatment rates in Slovenia appear comparable </w:t>
                            </w:r>
                            <w:r w:rsidR="004778AA">
                              <w:rPr>
                                <w:lang w:val="en-US"/>
                              </w:rPr>
                              <w:t>with</w:t>
                            </w:r>
                            <w:r w:rsidRPr="001E02A3">
                              <w:rPr>
                                <w:lang w:val="en-US"/>
                              </w:rPr>
                              <w:t xml:space="preserve"> Western EU countries, though direct comparative outcome data are limited.  This experience illustrates how political commitment, a strong professional community, universal coverage, and efficient organisation can shape vision health systems and significantly reduce preventable blindness.</w:t>
                            </w:r>
                          </w:p>
                          <w:p w14:paraId="4C664111" w14:textId="6B5CD134" w:rsidR="001E02A3" w:rsidRPr="004778AA" w:rsidRDefault="001E02A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4EE89" id="_x0000_t202" coordsize="21600,21600" o:spt="202" path="m,l,21600r21600,l21600,xe">
                <v:stroke joinstyle="miter"/>
                <v:path gradientshapeok="t" o:connecttype="rect"/>
              </v:shapetype>
              <v:shape id="Text Box 2" o:spid="_x0000_s1026" type="#_x0000_t202" style="position:absolute;margin-left:1.65pt;margin-top:100.4pt;width:469.5pt;height:49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nSEAIAACAEAAAOAAAAZHJzL2Uyb0RvYy54bWysU8GO0zAQvSPxD5bvNGnUljZqulq6FCEt&#10;C9LCBziO01jYHmO7TcrXM3a63WqBC8IHy+MZP8+8ebO+GbQiR+G8BFPR6SSnRBgOjTT7in77unuz&#10;pMQHZhqmwIiKnoSnN5vXr9a9LUUBHahGOIIgxpe9rWgXgi2zzPNOaOYnYIVBZwtOs4Cm22eNYz2i&#10;a5UVeb7IenCNdcCF93h7NzrpJuG3reDhc9t6EYiqKOYW0u7SXsc926xZuXfMdpKf02D/kIVm0uCn&#10;F6g7Fhg5OPkblJbcgYc2TDjoDNpWcpFqwGqm+YtqHjtmRaoFyfH2QpP/f7D84fhovzgShncwYANT&#10;Ed7eA//uiYFtx8xe3DoHfSdYgx9PI2VZb315fhqp9qWPIHX/CRpsMjsESEBD63RkBeskiI4NOF1I&#10;F0MgHC/nq0WxmKOLo29RzJazPLUlY+XTc+t8+CBAk3ioqMOuJnh2vPchpsPKp5D4mwclm51UKhlu&#10;X2+VI0eGCtillSp4EaYM6Su6mhfzkYG/QuRp/QlCy4BSVlJXdHkJYmXk7b1pktACk2o8Y8rKnImM&#10;3I0shqEeMDASWkNzQkodjJLFEcNDB+4nJT3KtaL+x4E5QYn6aLAtq+lsFvWdjNn8bYGGu/bU1x5m&#10;OEJVNFAyHrchzUQkzMAttq+VidjnTM65ogwT3+eRiTq/tlPU82BvfgEAAP//AwBQSwMEFAAGAAgA&#10;AAAhAFJfL4nfAAAACgEAAA8AAABkcnMvZG93bnJldi54bWxMj8FOwzAQRO9I/IO1SFxQ67SJShri&#10;VAgJBLdSKri68TaJiNfBdtPw9ywnOO7OaOZNuZlsL0b0oXOkYDFPQCDVznTUKNi/Pc5yECFqMrp3&#10;hAq+McCmurwodWHcmV5x3MVGcAiFQitoYxwKKUPdotVh7gYk1o7OWx359I00Xp853PZymSQraXVH&#10;3NDqAR9arD93J6sgz57Hj/CSbt/r1bFfx5vb8enLK3V9Nd3fgYg4xT8z/OIzOlTMdHAnMkH0CtKU&#10;jQq4hBewvs6W/DmwcZFnOciqlP8nVD8AAAD//wMAUEsBAi0AFAAGAAgAAAAhALaDOJL+AAAA4QEA&#10;ABMAAAAAAAAAAAAAAAAAAAAAAFtDb250ZW50X1R5cGVzXS54bWxQSwECLQAUAAYACAAAACEAOP0h&#10;/9YAAACUAQAACwAAAAAAAAAAAAAAAAAvAQAAX3JlbHMvLnJlbHNQSwECLQAUAAYACAAAACEA3LMJ&#10;0hACAAAgBAAADgAAAAAAAAAAAAAAAAAuAgAAZHJzL2Uyb0RvYy54bWxQSwECLQAUAAYACAAAACEA&#10;Ul8vid8AAAAKAQAADwAAAAAAAAAAAAAAAABqBAAAZHJzL2Rvd25yZXYueG1sUEsFBgAAAAAEAAQA&#10;8wAAAHYFAAAAAA==&#10;">
                <v:textbox>
                  <w:txbxContent>
                    <w:p w14:paraId="797B23D7" w14:textId="2E12B81D" w:rsidR="001E02A3" w:rsidRPr="001E02A3" w:rsidRDefault="001E02A3" w:rsidP="001E02A3">
                      <w:pPr>
                        <w:rPr>
                          <w:b/>
                          <w:bCs/>
                          <w:lang w:val="en-US"/>
                        </w:rPr>
                      </w:pPr>
                      <w:r>
                        <w:rPr>
                          <w:b/>
                          <w:bCs/>
                          <w:lang w:val="en-US"/>
                        </w:rPr>
                        <w:t xml:space="preserve">Best practice </w:t>
                      </w:r>
                      <w:r w:rsidR="0034296E">
                        <w:rPr>
                          <w:b/>
                          <w:bCs/>
                          <w:lang w:val="en-US"/>
                        </w:rPr>
                        <w:t>c</w:t>
                      </w:r>
                      <w:r w:rsidRPr="001E02A3">
                        <w:rPr>
                          <w:b/>
                          <w:bCs/>
                          <w:lang w:val="en-US"/>
                        </w:rPr>
                        <w:t>ase</w:t>
                      </w:r>
                      <w:r w:rsidR="0034296E">
                        <w:rPr>
                          <w:b/>
                          <w:bCs/>
                          <w:lang w:val="en-US"/>
                        </w:rPr>
                        <w:t xml:space="preserve"> s</w:t>
                      </w:r>
                      <w:r w:rsidRPr="001E02A3">
                        <w:rPr>
                          <w:b/>
                          <w:bCs/>
                          <w:lang w:val="en-US"/>
                        </w:rPr>
                        <w:t>tudy</w:t>
                      </w:r>
                      <w:r w:rsidR="0034296E">
                        <w:rPr>
                          <w:b/>
                          <w:bCs/>
                          <w:lang w:val="en-US"/>
                        </w:rPr>
                        <w:t xml:space="preserve"> from</w:t>
                      </w:r>
                      <w:r w:rsidRPr="001E02A3">
                        <w:rPr>
                          <w:b/>
                          <w:bCs/>
                          <w:lang w:val="en-US"/>
                        </w:rPr>
                        <w:t xml:space="preserve"> Slovenia</w:t>
                      </w:r>
                      <w:r w:rsidR="00624AD2">
                        <w:rPr>
                          <w:b/>
                          <w:bCs/>
                          <w:lang w:val="en-US"/>
                        </w:rPr>
                        <w:t>: s</w:t>
                      </w:r>
                      <w:r w:rsidRPr="001E02A3">
                        <w:rPr>
                          <w:b/>
                          <w:bCs/>
                          <w:lang w:val="en-US"/>
                        </w:rPr>
                        <w:t xml:space="preserve">ystemic </w:t>
                      </w:r>
                      <w:r w:rsidR="00624AD2">
                        <w:rPr>
                          <w:b/>
                          <w:bCs/>
                          <w:lang w:val="en-US"/>
                        </w:rPr>
                        <w:t>i</w:t>
                      </w:r>
                      <w:r w:rsidRPr="001E02A3">
                        <w:rPr>
                          <w:b/>
                          <w:bCs/>
                          <w:lang w:val="en-US"/>
                        </w:rPr>
                        <w:t xml:space="preserve">nterventions </w:t>
                      </w:r>
                      <w:r w:rsidR="00624AD2">
                        <w:rPr>
                          <w:b/>
                          <w:bCs/>
                          <w:lang w:val="en-US"/>
                        </w:rPr>
                        <w:t>s</w:t>
                      </w:r>
                      <w:r w:rsidRPr="001E02A3">
                        <w:rPr>
                          <w:b/>
                          <w:bCs/>
                          <w:lang w:val="en-US"/>
                        </w:rPr>
                        <w:t xml:space="preserve">upporting </w:t>
                      </w:r>
                      <w:r w:rsidR="00624AD2">
                        <w:rPr>
                          <w:b/>
                          <w:bCs/>
                          <w:lang w:val="en-US"/>
                        </w:rPr>
                        <w:t>v</w:t>
                      </w:r>
                      <w:r w:rsidRPr="001E02A3">
                        <w:rPr>
                          <w:b/>
                          <w:bCs/>
                          <w:lang w:val="en-US"/>
                        </w:rPr>
                        <w:t xml:space="preserve">ision </w:t>
                      </w:r>
                      <w:r w:rsidR="00624AD2">
                        <w:rPr>
                          <w:b/>
                          <w:bCs/>
                          <w:lang w:val="en-US"/>
                        </w:rPr>
                        <w:t>h</w:t>
                      </w:r>
                      <w:r w:rsidRPr="001E02A3">
                        <w:rPr>
                          <w:b/>
                          <w:bCs/>
                          <w:lang w:val="en-US"/>
                        </w:rPr>
                        <w:t>ealth</w:t>
                      </w:r>
                    </w:p>
                    <w:p w14:paraId="041ADC6E" w14:textId="77777777" w:rsidR="001E02A3" w:rsidRPr="001E02A3" w:rsidRDefault="001E02A3" w:rsidP="001E02A3">
                      <w:pPr>
                        <w:rPr>
                          <w:lang w:val="en-US"/>
                        </w:rPr>
                      </w:pPr>
                      <w:r w:rsidRPr="001E02A3">
                        <w:rPr>
                          <w:lang w:val="en-US"/>
                        </w:rPr>
                        <w:t>Slovenia demonstrates how a country can achieve equitable access to vision care through coordinated systemic interventions. Universal health coverage via the Health Insurance Institute of Slovenia ensures that, once reimbursed, all diagnostic procedures and treatments are financially accessible to patients.</w:t>
                      </w:r>
                    </w:p>
                    <w:p w14:paraId="15871C0A" w14:textId="77777777" w:rsidR="001E02A3" w:rsidRPr="00002620" w:rsidRDefault="001E02A3" w:rsidP="001E02A3">
                      <w:pPr>
                        <w:rPr>
                          <w:b/>
                          <w:lang w:val="en-US"/>
                        </w:rPr>
                      </w:pPr>
                      <w:r w:rsidRPr="001E02A3">
                        <w:rPr>
                          <w:lang w:val="en-US"/>
                        </w:rPr>
                        <w:t>To minimize regional disparities, a </w:t>
                      </w:r>
                      <w:r w:rsidRPr="001E02A3">
                        <w:rPr>
                          <w:b/>
                          <w:bCs/>
                          <w:lang w:val="en-US"/>
                        </w:rPr>
                        <w:t>network of specialised ophthalmic centres</w:t>
                      </w:r>
                      <w:r w:rsidRPr="001E02A3">
                        <w:rPr>
                          <w:lang w:val="en-US"/>
                        </w:rPr>
                        <w:t xml:space="preserve"> was established, anchored by the Eye Hospital at the University Medical Centre Ljubljana, with additional centres in Maribor and regional hospitals. This model </w:t>
                      </w:r>
                      <w:r w:rsidRPr="00002620">
                        <w:rPr>
                          <w:b/>
                          <w:lang w:val="en-US"/>
                        </w:rPr>
                        <w:t>reduces geographic inequalities</w:t>
                      </w:r>
                      <w:r w:rsidRPr="001E02A3">
                        <w:rPr>
                          <w:lang w:val="en-US"/>
                        </w:rPr>
                        <w:t xml:space="preserve"> and </w:t>
                      </w:r>
                      <w:r w:rsidRPr="00002620">
                        <w:rPr>
                          <w:b/>
                          <w:lang w:val="en-US"/>
                        </w:rPr>
                        <w:t>provides nationwide access to specialist care.</w:t>
                      </w:r>
                    </w:p>
                    <w:p w14:paraId="7B4B6852" w14:textId="76B010C5" w:rsidR="001E02A3" w:rsidRPr="001E02A3" w:rsidRDefault="001E02A3" w:rsidP="001E02A3">
                      <w:pPr>
                        <w:rPr>
                          <w:lang w:val="en-US"/>
                        </w:rPr>
                      </w:pPr>
                      <w:r w:rsidRPr="001E02A3">
                        <w:rPr>
                          <w:lang w:val="en-US"/>
                        </w:rPr>
                        <w:t>Slovenia has strong experience with </w:t>
                      </w:r>
                      <w:r w:rsidRPr="001E02A3">
                        <w:rPr>
                          <w:b/>
                          <w:bCs/>
                          <w:lang w:val="en-US"/>
                        </w:rPr>
                        <w:t>population-based screening programmes</w:t>
                      </w:r>
                      <w:r w:rsidRPr="001E02A3">
                        <w:rPr>
                          <w:lang w:val="en-US"/>
                        </w:rPr>
                        <w:t> (e.g., the DORA breast cancer programme) and since </w:t>
                      </w:r>
                      <w:r w:rsidRPr="00002620">
                        <w:rPr>
                          <w:lang w:val="en-US"/>
                        </w:rPr>
                        <w:t xml:space="preserve">2015 operates a </w:t>
                      </w:r>
                      <w:r w:rsidRPr="0097660A">
                        <w:rPr>
                          <w:b/>
                          <w:bCs/>
                          <w:lang w:val="en-US"/>
                        </w:rPr>
                        <w:t>national diabetic retinopathy screening programme</w:t>
                      </w:r>
                      <w:r w:rsidRPr="00241022">
                        <w:rPr>
                          <w:lang w:val="en-US"/>
                        </w:rPr>
                        <w:t>.</w:t>
                      </w:r>
                      <w:r w:rsidRPr="001E02A3">
                        <w:rPr>
                          <w:lang w:val="en-US"/>
                        </w:rPr>
                        <w:t xml:space="preserve"> It is delivered through nine regional centres with standardi</w:t>
                      </w:r>
                      <w:r w:rsidR="00D15DC6">
                        <w:rPr>
                          <w:lang w:val="en-US"/>
                        </w:rPr>
                        <w:t>s</w:t>
                      </w:r>
                      <w:r w:rsidRPr="001E02A3">
                        <w:rPr>
                          <w:lang w:val="en-US"/>
                        </w:rPr>
                        <w:t>ed protocols, unified IT systems</w:t>
                      </w:r>
                      <w:r w:rsidR="00241022">
                        <w:rPr>
                          <w:lang w:val="en-US"/>
                        </w:rPr>
                        <w:t xml:space="preserve"> </w:t>
                      </w:r>
                      <w:r w:rsidRPr="001E02A3">
                        <w:rPr>
                          <w:lang w:val="en-US"/>
                        </w:rPr>
                        <w:t>and quality assurance, demonstrating resilience even during the COVID-19 pandemic.</w:t>
                      </w:r>
                    </w:p>
                    <w:p w14:paraId="16EE16F1" w14:textId="46E08D08" w:rsidR="001E02A3" w:rsidRPr="001E02A3" w:rsidRDefault="001E02A3" w:rsidP="001E02A3">
                      <w:pPr>
                        <w:rPr>
                          <w:lang w:val="en-US"/>
                        </w:rPr>
                      </w:pPr>
                      <w:r w:rsidRPr="001E02A3">
                        <w:rPr>
                          <w:b/>
                          <w:bCs/>
                          <w:lang w:val="en-US"/>
                        </w:rPr>
                        <w:t>Access to modern anti-VEGF therapies</w:t>
                      </w:r>
                      <w:r w:rsidRPr="001E02A3">
                        <w:rPr>
                          <w:lang w:val="en-US"/>
                        </w:rPr>
                        <w:t xml:space="preserve"> in Slovenia is broad and without restrictions. Diagnostic procedures such as OCT and fluorescein angiography are </w:t>
                      </w:r>
                      <w:r w:rsidR="001F3363">
                        <w:rPr>
                          <w:lang w:val="en-US"/>
                        </w:rPr>
                        <w:t>also</w:t>
                      </w:r>
                      <w:r w:rsidRPr="001E02A3">
                        <w:rPr>
                          <w:lang w:val="en-US"/>
                        </w:rPr>
                        <w:t xml:space="preserve"> covered, allowing Slovenia to maintain high diagnosis and treatment rates for AMD and D</w:t>
                      </w:r>
                      <w:r w:rsidR="004A6DDD">
                        <w:rPr>
                          <w:lang w:val="en-US"/>
                        </w:rPr>
                        <w:t>R</w:t>
                      </w:r>
                      <w:r w:rsidRPr="001E02A3">
                        <w:rPr>
                          <w:lang w:val="en-US"/>
                        </w:rPr>
                        <w:t>.</w:t>
                      </w:r>
                    </w:p>
                    <w:p w14:paraId="46F2C67C" w14:textId="1C2B545C" w:rsidR="001E02A3" w:rsidRPr="001E02A3" w:rsidRDefault="001E02A3" w:rsidP="001E02A3">
                      <w:pPr>
                        <w:rPr>
                          <w:lang w:val="en-US"/>
                        </w:rPr>
                      </w:pPr>
                      <w:r w:rsidRPr="001E02A3">
                        <w:rPr>
                          <w:lang w:val="en-US"/>
                        </w:rPr>
                        <w:t>Additional programmes include a </w:t>
                      </w:r>
                      <w:r w:rsidRPr="001E02A3">
                        <w:rPr>
                          <w:b/>
                          <w:bCs/>
                          <w:lang w:val="en-US"/>
                        </w:rPr>
                        <w:t>national cataract management strategy</w:t>
                      </w:r>
                      <w:r w:rsidRPr="001E02A3">
                        <w:rPr>
                          <w:lang w:val="en-US"/>
                        </w:rPr>
                        <w:t>, the </w:t>
                      </w:r>
                      <w:r w:rsidRPr="001E02A3">
                        <w:rPr>
                          <w:b/>
                          <w:bCs/>
                          <w:lang w:val="en-US"/>
                        </w:rPr>
                        <w:t>National Centre for the Comprehensive Rehabilitation of the Blind and Visually Impaired</w:t>
                      </w:r>
                      <w:r w:rsidRPr="001E02A3">
                        <w:rPr>
                          <w:lang w:val="en-US"/>
                        </w:rPr>
                        <w:t>, and since </w:t>
                      </w:r>
                      <w:r w:rsidRPr="001E02A3">
                        <w:rPr>
                          <w:b/>
                          <w:bCs/>
                          <w:lang w:val="en-US"/>
                        </w:rPr>
                        <w:t>2022</w:t>
                      </w:r>
                      <w:r w:rsidR="00AD073F">
                        <w:rPr>
                          <w:b/>
                          <w:bCs/>
                          <w:lang w:val="en-US"/>
                        </w:rPr>
                        <w:t>,</w:t>
                      </w:r>
                      <w:r w:rsidRPr="001E02A3">
                        <w:rPr>
                          <w:b/>
                          <w:bCs/>
                          <w:lang w:val="en-US"/>
                        </w:rPr>
                        <w:t xml:space="preserve"> a national Register of the Blind and Visually Impaired</w:t>
                      </w:r>
                      <w:r w:rsidRPr="001E02A3">
                        <w:rPr>
                          <w:lang w:val="en-US"/>
                        </w:rPr>
                        <w:t>, strengthening long-term rehabilitation and data-driven policy planning.</w:t>
                      </w:r>
                    </w:p>
                    <w:p w14:paraId="6AB55FF5" w14:textId="0A10A640" w:rsidR="001E02A3" w:rsidRPr="001E02A3" w:rsidRDefault="001E02A3" w:rsidP="001E02A3">
                      <w:pPr>
                        <w:rPr>
                          <w:lang w:val="en-US"/>
                        </w:rPr>
                      </w:pPr>
                      <w:r w:rsidRPr="001E02A3">
                        <w:rPr>
                          <w:lang w:val="en-US"/>
                        </w:rPr>
                        <w:t xml:space="preserve">Slovenia has established itself as a positive outlier in the </w:t>
                      </w:r>
                      <w:r w:rsidR="00AD073F">
                        <w:rPr>
                          <w:lang w:val="en-US"/>
                        </w:rPr>
                        <w:t>CEE</w:t>
                      </w:r>
                      <w:r w:rsidRPr="001E02A3">
                        <w:rPr>
                          <w:lang w:val="en-US"/>
                        </w:rPr>
                        <w:t xml:space="preserve"> region. Based on expert reporting and health system structure, diagnosis and treatment rates in Slovenia appear comparable </w:t>
                      </w:r>
                      <w:r w:rsidR="004778AA">
                        <w:rPr>
                          <w:lang w:val="en-US"/>
                        </w:rPr>
                        <w:t>with</w:t>
                      </w:r>
                      <w:r w:rsidRPr="001E02A3">
                        <w:rPr>
                          <w:lang w:val="en-US"/>
                        </w:rPr>
                        <w:t xml:space="preserve"> Western EU countries, though direct comparative outcome data are limited.  This experience illustrates how political commitment, a strong professional community, universal coverage, and efficient organisation can shape vision health systems and significantly reduce preventable blindness.</w:t>
                      </w:r>
                    </w:p>
                    <w:p w14:paraId="4C664111" w14:textId="6B5CD134" w:rsidR="001E02A3" w:rsidRPr="004778AA" w:rsidRDefault="001E02A3">
                      <w:pPr>
                        <w:rPr>
                          <w:lang w:val="en-US"/>
                        </w:rPr>
                      </w:pPr>
                    </w:p>
                  </w:txbxContent>
                </v:textbox>
                <w10:wrap type="square"/>
              </v:shape>
            </w:pict>
          </mc:Fallback>
        </mc:AlternateContent>
      </w:r>
      <w:r w:rsidR="00A22398" w:rsidRPr="00E300D7">
        <w:rPr>
          <w:rFonts w:eastAsia="Arial"/>
          <w:color w:val="000000"/>
        </w:rPr>
        <w:t>Despite substantial changes in healthcare systems in the region since the early 1990s, disparities in ophthalmological care persist.</w:t>
      </w:r>
      <w:r w:rsidR="002A7180">
        <w:rPr>
          <w:rFonts w:eastAsia="Arial"/>
          <w:color w:val="000000"/>
          <w:vertAlign w:val="superscript"/>
        </w:rPr>
        <w:t>22</w:t>
      </w:r>
      <w:r w:rsidR="00A22398" w:rsidRPr="00E300D7">
        <w:rPr>
          <w:rFonts w:eastAsia="Arial"/>
          <w:color w:val="000000"/>
        </w:rPr>
        <w:t xml:space="preserve"> Addressing these inconsistencies through collaborative healthcare policies</w:t>
      </w:r>
      <w:r w:rsidR="00686DDF">
        <w:rPr>
          <w:rFonts w:eastAsia="Arial"/>
          <w:color w:val="000000"/>
        </w:rPr>
        <w:t xml:space="preserve"> (as </w:t>
      </w:r>
      <w:r w:rsidR="00560062">
        <w:rPr>
          <w:rFonts w:eastAsia="Arial"/>
          <w:color w:val="000000"/>
        </w:rPr>
        <w:t>highlighted in the Slovenia best practice case study below)</w:t>
      </w:r>
      <w:r w:rsidR="00A22398" w:rsidRPr="00E300D7">
        <w:rPr>
          <w:rFonts w:eastAsia="Arial"/>
          <w:color w:val="000000"/>
        </w:rPr>
        <w:t xml:space="preserve">, improved training for specialists, and </w:t>
      </w:r>
      <w:r w:rsidR="00A22398" w:rsidRPr="00E300D7">
        <w:rPr>
          <w:rFonts w:eastAsia="Arial"/>
          <w:color w:val="000000"/>
        </w:rPr>
        <w:lastRenderedPageBreak/>
        <w:t>enhanced patient education could significantly reduce preventable blindness.</w:t>
      </w:r>
      <w:r w:rsidR="002A7180">
        <w:rPr>
          <w:rFonts w:eastAsia="Arial"/>
          <w:color w:val="000000"/>
          <w:vertAlign w:val="superscript"/>
        </w:rPr>
        <w:t>6,37</w:t>
      </w:r>
    </w:p>
    <w:p w14:paraId="0F7F83F6" w14:textId="287D82C7" w:rsidR="00BA700E" w:rsidRPr="00E300D7" w:rsidRDefault="00BA700E">
      <w:pPr>
        <w:widowControl w:val="0"/>
        <w:pBdr>
          <w:top w:val="nil"/>
          <w:left w:val="nil"/>
          <w:bottom w:val="nil"/>
          <w:right w:val="nil"/>
          <w:between w:val="nil"/>
        </w:pBdr>
        <w:spacing w:before="120" w:after="120" w:line="360" w:lineRule="auto"/>
        <w:rPr>
          <w:rFonts w:eastAsia="Arial"/>
          <w:color w:val="000000"/>
          <w:vertAlign w:val="superscript"/>
        </w:rPr>
      </w:pPr>
    </w:p>
    <w:p w14:paraId="00000174" w14:textId="77777777"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b/>
          <w:color w:val="000000"/>
        </w:rPr>
        <w:t>3.4 Equitable healthcare: a call for unified action</w:t>
      </w:r>
    </w:p>
    <w:p w14:paraId="00000175" w14:textId="7A68E7FE"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Our role in ensuring equitable access to diagnostic and treatment services in AMD and D</w:t>
      </w:r>
      <w:r w:rsidR="00915A7F">
        <w:rPr>
          <w:rFonts w:eastAsia="Arial"/>
          <w:color w:val="000000"/>
        </w:rPr>
        <w:t>R</w:t>
      </w:r>
      <w:r w:rsidRPr="00E300D7">
        <w:rPr>
          <w:rFonts w:eastAsia="Arial"/>
          <w:color w:val="000000"/>
        </w:rPr>
        <w:t xml:space="preserve"> in the CEE region should not be underestimated. We need to collaborate across the region to address the issues of delayed diagnoses due to low public awareness and physician training, inequities in access to treatment and specialists and standardise what is currently a fragmented care pathway. We require greater investment from governments in:</w:t>
      </w:r>
    </w:p>
    <w:p w14:paraId="00000176" w14:textId="77777777" w:rsidR="00625C02" w:rsidRPr="00E300D7" w:rsidRDefault="00A22398" w:rsidP="008B2C0A">
      <w:pPr>
        <w:widowControl w:val="0"/>
        <w:numPr>
          <w:ilvl w:val="0"/>
          <w:numId w:val="3"/>
        </w:numPr>
        <w:pBdr>
          <w:top w:val="nil"/>
          <w:left w:val="nil"/>
          <w:bottom w:val="nil"/>
          <w:right w:val="nil"/>
          <w:between w:val="nil"/>
        </w:pBdr>
        <w:spacing w:before="120" w:after="120" w:line="360" w:lineRule="auto"/>
        <w:ind w:hanging="360"/>
        <w:rPr>
          <w:rFonts w:eastAsia="Arial"/>
          <w:color w:val="000000"/>
        </w:rPr>
      </w:pPr>
      <w:r w:rsidRPr="00E300D7">
        <w:rPr>
          <w:rFonts w:eastAsia="Arial"/>
          <w:color w:val="000000"/>
        </w:rPr>
        <w:t>Creation of protocols and guidelines for standardisation of healthcare across the region</w:t>
      </w:r>
    </w:p>
    <w:p w14:paraId="00000177" w14:textId="77777777" w:rsidR="00625C02" w:rsidRPr="00E300D7" w:rsidRDefault="00A22398" w:rsidP="008B2C0A">
      <w:pPr>
        <w:widowControl w:val="0"/>
        <w:numPr>
          <w:ilvl w:val="0"/>
          <w:numId w:val="3"/>
        </w:numPr>
        <w:pBdr>
          <w:top w:val="nil"/>
          <w:left w:val="nil"/>
          <w:bottom w:val="nil"/>
          <w:right w:val="nil"/>
          <w:between w:val="nil"/>
        </w:pBdr>
        <w:spacing w:before="120" w:after="120" w:line="360" w:lineRule="auto"/>
        <w:ind w:hanging="360"/>
        <w:rPr>
          <w:rFonts w:eastAsia="Arial"/>
          <w:color w:val="000000"/>
        </w:rPr>
      </w:pPr>
      <w:r w:rsidRPr="00E300D7">
        <w:rPr>
          <w:rFonts w:eastAsia="Arial"/>
          <w:color w:val="000000"/>
        </w:rPr>
        <w:t>Detection technologies</w:t>
      </w:r>
    </w:p>
    <w:p w14:paraId="00000178" w14:textId="77777777" w:rsidR="00625C02" w:rsidRPr="00E300D7" w:rsidRDefault="00A22398" w:rsidP="008B2C0A">
      <w:pPr>
        <w:widowControl w:val="0"/>
        <w:numPr>
          <w:ilvl w:val="0"/>
          <w:numId w:val="3"/>
        </w:numPr>
        <w:pBdr>
          <w:top w:val="nil"/>
          <w:left w:val="nil"/>
          <w:bottom w:val="nil"/>
          <w:right w:val="nil"/>
          <w:between w:val="nil"/>
        </w:pBdr>
        <w:spacing w:before="120" w:after="120" w:line="360" w:lineRule="auto"/>
        <w:ind w:hanging="360"/>
        <w:rPr>
          <w:rFonts w:eastAsia="Arial"/>
          <w:color w:val="000000"/>
        </w:rPr>
      </w:pPr>
      <w:r w:rsidRPr="00E300D7">
        <w:rPr>
          <w:rFonts w:eastAsia="Arial"/>
          <w:color w:val="000000"/>
        </w:rPr>
        <w:t>Awareness campaigns</w:t>
      </w:r>
    </w:p>
    <w:p w14:paraId="00000179" w14:textId="77777777" w:rsidR="00625C02" w:rsidRPr="00E300D7" w:rsidRDefault="00A22398" w:rsidP="008B2C0A">
      <w:pPr>
        <w:widowControl w:val="0"/>
        <w:numPr>
          <w:ilvl w:val="0"/>
          <w:numId w:val="3"/>
        </w:numPr>
        <w:pBdr>
          <w:top w:val="nil"/>
          <w:left w:val="nil"/>
          <w:bottom w:val="nil"/>
          <w:right w:val="nil"/>
          <w:between w:val="nil"/>
        </w:pBdr>
        <w:spacing w:before="120" w:after="120" w:line="360" w:lineRule="auto"/>
        <w:ind w:hanging="360"/>
        <w:rPr>
          <w:rFonts w:eastAsia="Arial"/>
          <w:color w:val="000000"/>
        </w:rPr>
      </w:pPr>
      <w:r w:rsidRPr="00E300D7">
        <w:rPr>
          <w:rFonts w:eastAsia="Arial"/>
          <w:color w:val="000000"/>
        </w:rPr>
        <w:t>Training and expansion of the healthcare workforce</w:t>
      </w:r>
    </w:p>
    <w:p w14:paraId="0000017A" w14:textId="7A1A8850" w:rsidR="00625C02" w:rsidRPr="00E300D7" w:rsidRDefault="00A22398">
      <w:pPr>
        <w:widowControl w:val="0"/>
        <w:pBdr>
          <w:top w:val="nil"/>
          <w:left w:val="nil"/>
          <w:bottom w:val="nil"/>
          <w:right w:val="nil"/>
          <w:between w:val="nil"/>
        </w:pBdr>
        <w:spacing w:before="120" w:after="120" w:line="360" w:lineRule="auto"/>
        <w:rPr>
          <w:rFonts w:eastAsia="Arial"/>
          <w:color w:val="000000"/>
        </w:rPr>
      </w:pPr>
      <w:r w:rsidRPr="00E300D7">
        <w:rPr>
          <w:rFonts w:eastAsia="Arial"/>
          <w:color w:val="000000"/>
        </w:rPr>
        <w:t xml:space="preserve">Furthermore, national regulators must collaborate with the </w:t>
      </w:r>
      <w:r w:rsidR="00246C73">
        <w:rPr>
          <w:rFonts w:eastAsia="Arial"/>
          <w:color w:val="000000"/>
        </w:rPr>
        <w:t>European Medicines Agency (</w:t>
      </w:r>
      <w:r w:rsidRPr="00E300D7">
        <w:rPr>
          <w:rFonts w:eastAsia="Arial"/>
          <w:color w:val="000000"/>
        </w:rPr>
        <w:t>EMA</w:t>
      </w:r>
      <w:r w:rsidR="00246C73">
        <w:rPr>
          <w:rFonts w:eastAsia="Arial"/>
          <w:color w:val="000000"/>
        </w:rPr>
        <w:t>)</w:t>
      </w:r>
      <w:r w:rsidRPr="00E300D7">
        <w:rPr>
          <w:rFonts w:eastAsia="Arial"/>
          <w:color w:val="000000"/>
        </w:rPr>
        <w:t xml:space="preserve"> to align on reimbursement policies for newer and effective treatments. By taking decisive action now, we can mitigate preventable blindness, improve quality of life for millions, and create a more resilient, equitable healthcare system for the future.</w:t>
      </w:r>
    </w:p>
    <w:p w14:paraId="0000018A" w14:textId="1904D037" w:rsidR="00625C02" w:rsidRDefault="00625C02" w:rsidP="008B2C0A">
      <w:pPr>
        <w:widowControl w:val="0"/>
        <w:numPr>
          <w:ilvl w:val="0"/>
          <w:numId w:val="27"/>
        </w:numPr>
        <w:pBdr>
          <w:top w:val="nil"/>
          <w:left w:val="nil"/>
          <w:bottom w:val="nil"/>
          <w:right w:val="nil"/>
          <w:between w:val="nil"/>
        </w:pBdr>
        <w:spacing w:before="120" w:after="120" w:line="360" w:lineRule="auto"/>
        <w:rPr>
          <w:rFonts w:ascii="Arial" w:eastAsia="Arial" w:hAnsi="Arial" w:cs="Arial"/>
          <w:color w:val="000000"/>
        </w:rPr>
        <w:sectPr w:rsidR="00625C02">
          <w:headerReference w:type="even" r:id="rId38"/>
          <w:headerReference w:type="default" r:id="rId39"/>
          <w:footerReference w:type="even" r:id="rId40"/>
          <w:footerReference w:type="default" r:id="rId41"/>
          <w:headerReference w:type="first" r:id="rId42"/>
          <w:footerReference w:type="first" r:id="rId43"/>
          <w:pgSz w:w="11900" w:h="16840"/>
          <w:pgMar w:top="1112" w:right="1060" w:bottom="956" w:left="1047" w:header="684" w:footer="3" w:gutter="0"/>
          <w:pgNumType w:start="1"/>
          <w:cols w:space="720"/>
        </w:sectPr>
      </w:pPr>
    </w:p>
    <w:p w14:paraId="0000018B" w14:textId="3DCC0151" w:rsidR="00625C02" w:rsidRPr="00402D81" w:rsidRDefault="00A22398">
      <w:pPr>
        <w:pStyle w:val="Heading2"/>
        <w:spacing w:before="120" w:after="120" w:line="360" w:lineRule="auto"/>
        <w:jc w:val="center"/>
        <w:rPr>
          <w:rFonts w:asciiTheme="minorBidi" w:hAnsiTheme="minorBidi" w:cstheme="minorBidi"/>
          <w:sz w:val="22"/>
          <w:szCs w:val="22"/>
        </w:rPr>
      </w:pPr>
      <w:bookmarkStart w:id="6" w:name="_Toc210130061"/>
      <w:r w:rsidRPr="00402D81">
        <w:rPr>
          <w:rFonts w:asciiTheme="minorBidi" w:hAnsiTheme="minorBidi" w:cstheme="minorBidi"/>
          <w:b/>
          <w:sz w:val="22"/>
          <w:szCs w:val="22"/>
        </w:rPr>
        <w:lastRenderedPageBreak/>
        <w:t>CHAPTER 4</w:t>
      </w:r>
      <w:r w:rsidRPr="00402D81">
        <w:rPr>
          <w:rFonts w:asciiTheme="minorBidi" w:hAnsiTheme="minorBidi" w:cstheme="minorBidi"/>
          <w:b/>
          <w:sz w:val="22"/>
          <w:szCs w:val="22"/>
        </w:rPr>
        <w:br/>
      </w:r>
      <w:r w:rsidRPr="00402D81">
        <w:rPr>
          <w:rFonts w:asciiTheme="minorBidi" w:hAnsiTheme="minorBidi" w:cstheme="minorBidi"/>
          <w:sz w:val="22"/>
          <w:szCs w:val="22"/>
        </w:rPr>
        <w:t>AFTERCARE AND LONG-TERM MANAGEMENT</w:t>
      </w:r>
      <w:bookmarkEnd w:id="6"/>
    </w:p>
    <w:p w14:paraId="0000018C" w14:textId="77777777" w:rsidR="00625C02" w:rsidRDefault="00A22398">
      <w:pPr>
        <w:pBdr>
          <w:top w:val="nil"/>
          <w:left w:val="nil"/>
          <w:bottom w:val="nil"/>
          <w:right w:val="nil"/>
          <w:between w:val="nil"/>
        </w:pBdr>
        <w:spacing w:before="120" w:after="120" w:line="360" w:lineRule="auto"/>
        <w:rPr>
          <w:b/>
          <w:color w:val="000000"/>
        </w:rPr>
      </w:pPr>
      <w:r>
        <w:rPr>
          <w:b/>
          <w:color w:val="000000"/>
        </w:rPr>
        <w:t>4.0 Building lifelong retinal support systems</w:t>
      </w:r>
    </w:p>
    <w:p w14:paraId="0000018D" w14:textId="17DC2680" w:rsidR="00625C02" w:rsidRDefault="00A22398">
      <w:pPr>
        <w:pBdr>
          <w:top w:val="nil"/>
          <w:left w:val="nil"/>
          <w:bottom w:val="nil"/>
          <w:right w:val="nil"/>
          <w:between w:val="nil"/>
        </w:pBdr>
        <w:spacing w:before="120" w:after="120" w:line="360" w:lineRule="auto"/>
        <w:rPr>
          <w:color w:val="000000"/>
        </w:rPr>
      </w:pPr>
      <w:r>
        <w:rPr>
          <w:color w:val="000000"/>
        </w:rPr>
        <w:t>Managing AMD and D</w:t>
      </w:r>
      <w:r w:rsidR="00915A7F">
        <w:rPr>
          <w:color w:val="000000"/>
        </w:rPr>
        <w:t>R</w:t>
      </w:r>
      <w:r>
        <w:rPr>
          <w:color w:val="000000"/>
        </w:rPr>
        <w:t xml:space="preserve"> extends far beyond initial diagnosis and treatment. These chronic</w:t>
      </w:r>
      <w:r w:rsidR="001120DE">
        <w:rPr>
          <w:color w:val="000000"/>
        </w:rPr>
        <w:t>, degenerative</w:t>
      </w:r>
      <w:r>
        <w:rPr>
          <w:color w:val="000000"/>
        </w:rPr>
        <w:t xml:space="preserve"> retinal diseases require consistent monitoring, rehabilitation programmes, patient education and integrated aftercare to help preserve vision and ensure optimal patient outcomes. The absence of systemic aftercare structures in CEE exacerbates healthcare disparities leaving many patients underserved following initial treatment and leading to inconsistent patient outcomes. Therefore, it is crucial to establish structured aftercare services that support long-term disease management and ultimately enhance quality of life for patients across the region.</w:t>
      </w:r>
      <w:r w:rsidR="00D3046C">
        <w:rPr>
          <w:color w:val="000000"/>
          <w:vertAlign w:val="superscript"/>
        </w:rPr>
        <w:t>39,</w:t>
      </w:r>
      <w:r w:rsidR="00A166B4">
        <w:rPr>
          <w:color w:val="000000"/>
          <w:vertAlign w:val="superscript"/>
        </w:rPr>
        <w:t>40,41</w:t>
      </w:r>
    </w:p>
    <w:p w14:paraId="0000018E" w14:textId="79CEBF3C" w:rsidR="00625C02" w:rsidRDefault="00A22398">
      <w:pPr>
        <w:pBdr>
          <w:top w:val="nil"/>
          <w:left w:val="nil"/>
          <w:bottom w:val="nil"/>
          <w:right w:val="nil"/>
          <w:between w:val="nil"/>
        </w:pBdr>
        <w:spacing w:before="120" w:after="120" w:line="360" w:lineRule="auto"/>
        <w:rPr>
          <w:color w:val="000000"/>
        </w:rPr>
      </w:pPr>
      <w:r>
        <w:rPr>
          <w:color w:val="000000"/>
        </w:rPr>
        <w:t>We require national strategies that centre the patient experience in long-term care planning. By strengthening aftercare, particularly for AMD and D</w:t>
      </w:r>
      <w:r w:rsidR="00915A7F">
        <w:rPr>
          <w:color w:val="000000"/>
        </w:rPr>
        <w:t>R</w:t>
      </w:r>
      <w:r>
        <w:rPr>
          <w:color w:val="000000"/>
        </w:rPr>
        <w:t>, governments can reduce preventable vision loss and improve health equity across the region.</w:t>
      </w:r>
    </w:p>
    <w:p w14:paraId="0000018F" w14:textId="77777777" w:rsidR="00625C02" w:rsidRDefault="00A22398">
      <w:pPr>
        <w:pBdr>
          <w:top w:val="nil"/>
          <w:left w:val="nil"/>
          <w:bottom w:val="nil"/>
          <w:right w:val="nil"/>
          <w:between w:val="nil"/>
        </w:pBdr>
        <w:spacing w:before="120" w:after="120" w:line="360" w:lineRule="auto"/>
        <w:rPr>
          <w:color w:val="000000"/>
        </w:rPr>
      </w:pPr>
      <w:r>
        <w:rPr>
          <w:b/>
          <w:color w:val="000000"/>
        </w:rPr>
        <w:t>4.1 The importance of ongoing patient monitoring</w:t>
      </w:r>
    </w:p>
    <w:p w14:paraId="00000190" w14:textId="504290E4" w:rsidR="00625C02" w:rsidRDefault="00A22398">
      <w:pPr>
        <w:pBdr>
          <w:top w:val="nil"/>
          <w:left w:val="nil"/>
          <w:bottom w:val="nil"/>
          <w:right w:val="nil"/>
          <w:between w:val="nil"/>
        </w:pBdr>
        <w:spacing w:before="120" w:after="120" w:line="360" w:lineRule="auto"/>
        <w:rPr>
          <w:color w:val="000000"/>
        </w:rPr>
      </w:pPr>
      <w:r>
        <w:rPr>
          <w:color w:val="000000"/>
        </w:rPr>
        <w:t>Disease progression in both AMD and D</w:t>
      </w:r>
      <w:r w:rsidR="00114608">
        <w:rPr>
          <w:color w:val="000000"/>
        </w:rPr>
        <w:t>R</w:t>
      </w:r>
      <w:r>
        <w:rPr>
          <w:color w:val="000000"/>
        </w:rPr>
        <w:t xml:space="preserve"> can occur rapidly and unpredictably. Thus, effective long-term management hinges on early diagnosis and regular monitoring.</w:t>
      </w:r>
      <w:r w:rsidR="00A166B4">
        <w:rPr>
          <w:color w:val="000000"/>
          <w:vertAlign w:val="superscript"/>
        </w:rPr>
        <w:t>6,42,43</w:t>
      </w:r>
      <w:r>
        <w:rPr>
          <w:color w:val="000000"/>
        </w:rPr>
        <w:t xml:space="preserve"> </w:t>
      </w:r>
    </w:p>
    <w:p w14:paraId="00000191" w14:textId="4A8C3CD6" w:rsidR="00625C02" w:rsidRDefault="00A22398">
      <w:pPr>
        <w:pBdr>
          <w:top w:val="nil"/>
          <w:left w:val="nil"/>
          <w:bottom w:val="nil"/>
          <w:right w:val="nil"/>
          <w:between w:val="nil"/>
        </w:pBdr>
        <w:spacing w:before="120" w:after="120" w:line="360" w:lineRule="auto"/>
        <w:rPr>
          <w:color w:val="000000"/>
        </w:rPr>
      </w:pPr>
      <w:r>
        <w:rPr>
          <w:color w:val="000000"/>
        </w:rPr>
        <w:t xml:space="preserve">In addition to regular follow-ups with retinal specialists, access to diagnostic technologies particularly OCT, fundus autofluorescence and fluorescein </w:t>
      </w:r>
      <w:r w:rsidR="006545B8">
        <w:rPr>
          <w:color w:val="000000"/>
        </w:rPr>
        <w:t>angiography</w:t>
      </w:r>
      <w:r w:rsidR="006545B8">
        <w:t xml:space="preserve"> ̶ are</w:t>
      </w:r>
      <w:r>
        <w:rPr>
          <w:color w:val="000000"/>
        </w:rPr>
        <w:t xml:space="preserve"> essential for early detection of recurrences or complications. Several studies have demonstrated the importance of regular OCT monitoring in reducing vision deterioration in patients with AMD and D</w:t>
      </w:r>
      <w:r w:rsidR="00114608">
        <w:rPr>
          <w:color w:val="000000"/>
        </w:rPr>
        <w:t>R</w:t>
      </w:r>
      <w:r>
        <w:rPr>
          <w:color w:val="000000"/>
        </w:rPr>
        <w:t>.</w:t>
      </w:r>
      <w:r w:rsidR="0066591F">
        <w:rPr>
          <w:color w:val="000000"/>
          <w:vertAlign w:val="superscript"/>
        </w:rPr>
        <w:t>42,43</w:t>
      </w:r>
      <w:r>
        <w:rPr>
          <w:color w:val="000000"/>
        </w:rPr>
        <w:t xml:space="preserve"> However, access to diagnostic technologies remains inconsistent across CEE. In countries such as Bulgaria, Romania, and parts of the Western Balkans, limited infrastructure, lack of technical equipment, reimbursement restrictions, and workforce shortages impede timely follow-up.</w:t>
      </w:r>
      <w:r w:rsidR="0066591F">
        <w:rPr>
          <w:color w:val="000000"/>
          <w:vertAlign w:val="superscript"/>
        </w:rPr>
        <w:t>6,36,38,44</w:t>
      </w:r>
      <w:r>
        <w:rPr>
          <w:color w:val="000000"/>
        </w:rPr>
        <w:t xml:space="preserve"> </w:t>
      </w:r>
    </w:p>
    <w:p w14:paraId="00000192" w14:textId="54A491ED" w:rsidR="00625C02" w:rsidRDefault="00A22398">
      <w:pPr>
        <w:pBdr>
          <w:top w:val="nil"/>
          <w:left w:val="nil"/>
          <w:bottom w:val="nil"/>
          <w:right w:val="nil"/>
          <w:between w:val="nil"/>
        </w:pBdr>
        <w:spacing w:before="120" w:after="120" w:line="360" w:lineRule="auto"/>
        <w:rPr>
          <w:color w:val="000000"/>
        </w:rPr>
      </w:pPr>
      <w:r>
        <w:rPr>
          <w:color w:val="000000"/>
        </w:rPr>
        <w:t>National governments must invest in screening infrastructure and ensure regular specialist evaluations are made accessible through referral systems. By improving access to monitoring technologies, healthcare systems can prevent avoidable vision loss and optimise treatment efficacy. Additionally, appropriate early diagnosis and detection may also assist current healthcare systems to transition from long-term care to more effective disease prevention and management.</w:t>
      </w:r>
      <w:r w:rsidR="0066591F">
        <w:rPr>
          <w:color w:val="000000"/>
          <w:vertAlign w:val="superscript"/>
        </w:rPr>
        <w:t>6</w:t>
      </w:r>
      <w:r>
        <w:rPr>
          <w:color w:val="000000"/>
        </w:rPr>
        <w:t xml:space="preserve">  </w:t>
      </w:r>
    </w:p>
    <w:p w14:paraId="00000193" w14:textId="671DB11F" w:rsidR="00625C02" w:rsidRDefault="00A22398">
      <w:pPr>
        <w:pBdr>
          <w:top w:val="nil"/>
          <w:left w:val="nil"/>
          <w:bottom w:val="nil"/>
          <w:right w:val="nil"/>
          <w:between w:val="nil"/>
        </w:pBdr>
        <w:spacing w:before="120" w:after="120" w:line="360" w:lineRule="auto"/>
        <w:rPr>
          <w:color w:val="000000"/>
        </w:rPr>
      </w:pPr>
      <w:r>
        <w:rPr>
          <w:color w:val="000000"/>
        </w:rPr>
        <w:t>We can look to the UK for successful examples for patient monitoring. The National Health Service offers routine OCT as part of AMD and DR monitoring through integrated eye care pathways.</w:t>
      </w:r>
      <w:r w:rsidR="0066591F">
        <w:rPr>
          <w:color w:val="000000"/>
          <w:vertAlign w:val="superscript"/>
        </w:rPr>
        <w:t>45</w:t>
      </w:r>
      <w:r>
        <w:rPr>
          <w:color w:val="000000"/>
        </w:rPr>
        <w:t xml:space="preserve"> Adapting such systems in CEE will enhance clinical outcomes and can be achieved by:</w:t>
      </w:r>
    </w:p>
    <w:p w14:paraId="00000194" w14:textId="76B9B349" w:rsidR="00625C02" w:rsidRDefault="00A22398" w:rsidP="008B2C0A">
      <w:pPr>
        <w:numPr>
          <w:ilvl w:val="0"/>
          <w:numId w:val="19"/>
        </w:numPr>
        <w:pBdr>
          <w:top w:val="nil"/>
          <w:left w:val="nil"/>
          <w:bottom w:val="nil"/>
          <w:right w:val="nil"/>
          <w:between w:val="nil"/>
        </w:pBdr>
        <w:spacing w:before="120" w:after="0" w:line="360" w:lineRule="auto"/>
        <w:rPr>
          <w:color w:val="000000"/>
        </w:rPr>
      </w:pPr>
      <w:r>
        <w:rPr>
          <w:color w:val="000000"/>
        </w:rPr>
        <w:lastRenderedPageBreak/>
        <w:t>Establishing national follow-up protocols for AMD and D</w:t>
      </w:r>
      <w:r w:rsidR="002311FA">
        <w:rPr>
          <w:color w:val="000000"/>
        </w:rPr>
        <w:t>R</w:t>
      </w:r>
      <w:r>
        <w:rPr>
          <w:color w:val="000000"/>
        </w:rPr>
        <w:t xml:space="preserve"> based on clinical guidelines (e.g., EURETINA, International Council of Ophthalmology and the European Society of Retina Specialists)</w:t>
      </w:r>
    </w:p>
    <w:p w14:paraId="00000195" w14:textId="77777777" w:rsidR="00625C02" w:rsidRDefault="00A22398" w:rsidP="008B2C0A">
      <w:pPr>
        <w:numPr>
          <w:ilvl w:val="0"/>
          <w:numId w:val="19"/>
        </w:numPr>
        <w:pBdr>
          <w:top w:val="nil"/>
          <w:left w:val="nil"/>
          <w:bottom w:val="nil"/>
          <w:right w:val="nil"/>
          <w:between w:val="nil"/>
        </w:pBdr>
        <w:spacing w:after="0" w:line="360" w:lineRule="auto"/>
        <w:rPr>
          <w:color w:val="000000"/>
        </w:rPr>
      </w:pPr>
      <w:r>
        <w:rPr>
          <w:color w:val="000000"/>
        </w:rPr>
        <w:t>Expanding public insurance and/or reimbursement coverage for routine OCT and fluorescein angiography</w:t>
      </w:r>
    </w:p>
    <w:p w14:paraId="00000196" w14:textId="77777777" w:rsidR="00625C02" w:rsidRDefault="00A22398" w:rsidP="008B2C0A">
      <w:pPr>
        <w:numPr>
          <w:ilvl w:val="0"/>
          <w:numId w:val="19"/>
        </w:numPr>
        <w:pBdr>
          <w:top w:val="nil"/>
          <w:left w:val="nil"/>
          <w:bottom w:val="nil"/>
          <w:right w:val="nil"/>
          <w:between w:val="nil"/>
        </w:pBdr>
        <w:spacing w:after="120" w:line="360" w:lineRule="auto"/>
        <w:rPr>
          <w:color w:val="000000"/>
        </w:rPr>
      </w:pPr>
      <w:r>
        <w:rPr>
          <w:color w:val="000000"/>
        </w:rPr>
        <w:t>Developing and maintaining regional retinal health registries to monitor outcomes and resource allocation</w:t>
      </w:r>
    </w:p>
    <w:p w14:paraId="00000197" w14:textId="77777777" w:rsidR="00625C02" w:rsidRDefault="00A22398">
      <w:pPr>
        <w:pBdr>
          <w:top w:val="nil"/>
          <w:left w:val="nil"/>
          <w:bottom w:val="nil"/>
          <w:right w:val="nil"/>
          <w:between w:val="nil"/>
        </w:pBdr>
        <w:spacing w:before="120" w:after="120" w:line="360" w:lineRule="auto"/>
        <w:rPr>
          <w:color w:val="000000"/>
        </w:rPr>
      </w:pPr>
      <w:r>
        <w:rPr>
          <w:b/>
          <w:color w:val="000000"/>
        </w:rPr>
        <w:t>4.2 Quality, quantity and access to rehabilitation and support programmes</w:t>
      </w:r>
    </w:p>
    <w:p w14:paraId="00000198" w14:textId="5126B2FC" w:rsidR="00625C02" w:rsidRDefault="00A22398">
      <w:pPr>
        <w:pBdr>
          <w:top w:val="nil"/>
          <w:left w:val="nil"/>
          <w:bottom w:val="nil"/>
          <w:right w:val="nil"/>
          <w:between w:val="nil"/>
        </w:pBdr>
        <w:spacing w:before="120" w:after="120" w:line="360" w:lineRule="auto"/>
        <w:rPr>
          <w:color w:val="000000"/>
        </w:rPr>
      </w:pPr>
      <w:r>
        <w:rPr>
          <w:color w:val="000000"/>
        </w:rPr>
        <w:t>Beyond clinical care, comprehensive rehabilitation services are essential for supporting patients after vision loss.</w:t>
      </w:r>
      <w:r w:rsidR="00F40DF7">
        <w:rPr>
          <w:color w:val="000000"/>
          <w:vertAlign w:val="superscript"/>
        </w:rPr>
        <w:t>1</w:t>
      </w:r>
      <w:r>
        <w:rPr>
          <w:color w:val="000000"/>
        </w:rPr>
        <w:t xml:space="preserve"> Services such as low vision therapy, assistive technologies, mobility training and psychological support can significantly improve patient quality of life and play a vital role in helping AMD and D</w:t>
      </w:r>
      <w:r w:rsidR="008968D9">
        <w:rPr>
          <w:color w:val="000000"/>
        </w:rPr>
        <w:t>R</w:t>
      </w:r>
      <w:r>
        <w:rPr>
          <w:color w:val="000000"/>
        </w:rPr>
        <w:t xml:space="preserve"> patients adjust to vision impairment.</w:t>
      </w:r>
      <w:r w:rsidR="00F40DF7">
        <w:rPr>
          <w:color w:val="000000"/>
          <w:vertAlign w:val="superscript"/>
        </w:rPr>
        <w:t>1,46,47,48</w:t>
      </w:r>
      <w:r>
        <w:rPr>
          <w:color w:val="000000"/>
        </w:rPr>
        <w:t xml:space="preserve"> Unfortunately, rehabilitation services in much of CEE are scarce, fragmented, and often not reimbursed.</w:t>
      </w:r>
      <w:r w:rsidR="00F40DF7">
        <w:rPr>
          <w:color w:val="000000"/>
          <w:vertAlign w:val="superscript"/>
        </w:rPr>
        <w:t>6,</w:t>
      </w:r>
      <w:r w:rsidR="0030633F">
        <w:rPr>
          <w:color w:val="000000"/>
          <w:vertAlign w:val="superscript"/>
        </w:rPr>
        <w:t>44,49</w:t>
      </w:r>
      <w:r>
        <w:rPr>
          <w:color w:val="000000"/>
        </w:rPr>
        <w:t xml:space="preserve"> Patients frequently rely on NGOs or out-of-pocket payments, limiting access for disadvantaged populations.</w:t>
      </w:r>
      <w:r w:rsidR="0030633F">
        <w:rPr>
          <w:color w:val="000000"/>
          <w:vertAlign w:val="superscript"/>
        </w:rPr>
        <w:t>1,6</w:t>
      </w:r>
    </w:p>
    <w:p w14:paraId="00000199" w14:textId="4812A27A" w:rsidR="00625C02" w:rsidRDefault="00A22398">
      <w:pPr>
        <w:pBdr>
          <w:top w:val="nil"/>
          <w:left w:val="nil"/>
          <w:bottom w:val="nil"/>
          <w:right w:val="nil"/>
          <w:between w:val="nil"/>
        </w:pBdr>
        <w:spacing w:before="120" w:after="120" w:line="360" w:lineRule="auto"/>
        <w:rPr>
          <w:color w:val="000000"/>
        </w:rPr>
      </w:pPr>
      <w:r>
        <w:rPr>
          <w:color w:val="000000"/>
        </w:rPr>
        <w:t>Germany follows a model of integrated low vision services, funded by statutory health insurance.</w:t>
      </w:r>
      <w:r w:rsidR="00401FC6">
        <w:rPr>
          <w:color w:val="000000"/>
          <w:vertAlign w:val="superscript"/>
        </w:rPr>
        <w:t>3</w:t>
      </w:r>
      <w:r w:rsidR="0030633F">
        <w:rPr>
          <w:color w:val="000000"/>
          <w:vertAlign w:val="superscript"/>
        </w:rPr>
        <w:t>7</w:t>
      </w:r>
      <w:r>
        <w:rPr>
          <w:color w:val="000000"/>
        </w:rPr>
        <w:t xml:space="preserve"> Similarly, Finland’s community-based rehabilitation system emphasizes patient autonomy and social reintegration.</w:t>
      </w:r>
      <w:r w:rsidR="00054E93">
        <w:rPr>
          <w:color w:val="000000"/>
          <w:vertAlign w:val="superscript"/>
        </w:rPr>
        <w:t>11</w:t>
      </w:r>
      <w:r>
        <w:rPr>
          <w:color w:val="000000"/>
        </w:rPr>
        <w:t xml:space="preserve"> Utilising some of the learnings from Europe, we have the opportunity to improve access to rehabilitation and support programmes across the region. We recommend: </w:t>
      </w:r>
    </w:p>
    <w:p w14:paraId="0000019A" w14:textId="77777777" w:rsidR="00625C02" w:rsidRDefault="00A22398" w:rsidP="008B2C0A">
      <w:pPr>
        <w:numPr>
          <w:ilvl w:val="0"/>
          <w:numId w:val="20"/>
        </w:numPr>
        <w:pBdr>
          <w:top w:val="nil"/>
          <w:left w:val="nil"/>
          <w:bottom w:val="nil"/>
          <w:right w:val="nil"/>
          <w:between w:val="nil"/>
        </w:pBdr>
        <w:spacing w:before="120" w:after="0" w:line="360" w:lineRule="auto"/>
        <w:rPr>
          <w:color w:val="000000"/>
        </w:rPr>
      </w:pPr>
      <w:r>
        <w:rPr>
          <w:color w:val="000000"/>
        </w:rPr>
        <w:t>Integration of low vision services into public hospital networks and community health centres</w:t>
      </w:r>
    </w:p>
    <w:p w14:paraId="0000019B" w14:textId="77777777" w:rsidR="00625C02" w:rsidRDefault="00A22398" w:rsidP="008B2C0A">
      <w:pPr>
        <w:numPr>
          <w:ilvl w:val="0"/>
          <w:numId w:val="20"/>
        </w:numPr>
        <w:pBdr>
          <w:top w:val="nil"/>
          <w:left w:val="nil"/>
          <w:bottom w:val="nil"/>
          <w:right w:val="nil"/>
          <w:between w:val="nil"/>
        </w:pBdr>
        <w:spacing w:after="0" w:line="360" w:lineRule="auto"/>
        <w:rPr>
          <w:color w:val="000000"/>
        </w:rPr>
      </w:pPr>
      <w:r>
        <w:rPr>
          <w:color w:val="000000"/>
        </w:rPr>
        <w:t>Public-health funded subsidies for assistive technologies and vision aids</w:t>
      </w:r>
    </w:p>
    <w:p w14:paraId="0000019C" w14:textId="77777777" w:rsidR="00625C02" w:rsidRDefault="00A22398" w:rsidP="008B2C0A">
      <w:pPr>
        <w:numPr>
          <w:ilvl w:val="0"/>
          <w:numId w:val="20"/>
        </w:numPr>
        <w:pBdr>
          <w:top w:val="nil"/>
          <w:left w:val="nil"/>
          <w:bottom w:val="nil"/>
          <w:right w:val="nil"/>
          <w:between w:val="nil"/>
        </w:pBdr>
        <w:spacing w:after="0" w:line="360" w:lineRule="auto"/>
        <w:rPr>
          <w:color w:val="000000"/>
        </w:rPr>
      </w:pPr>
      <w:r>
        <w:rPr>
          <w:color w:val="000000"/>
        </w:rPr>
        <w:t>Expanded training for rehabilitation professionals and their inclusion in multidisciplinary care teams</w:t>
      </w:r>
    </w:p>
    <w:p w14:paraId="0000019D" w14:textId="77777777" w:rsidR="00625C02" w:rsidRDefault="00A22398" w:rsidP="008B2C0A">
      <w:pPr>
        <w:numPr>
          <w:ilvl w:val="0"/>
          <w:numId w:val="20"/>
        </w:numPr>
        <w:pBdr>
          <w:top w:val="nil"/>
          <w:left w:val="nil"/>
          <w:bottom w:val="nil"/>
          <w:right w:val="nil"/>
          <w:between w:val="nil"/>
        </w:pBdr>
        <w:spacing w:after="0" w:line="360" w:lineRule="auto"/>
        <w:rPr>
          <w:color w:val="000000"/>
        </w:rPr>
      </w:pPr>
      <w:r>
        <w:rPr>
          <w:color w:val="000000"/>
        </w:rPr>
        <w:t>Development of community-based support networks to provide peer counselling and adaptation of resources</w:t>
      </w:r>
    </w:p>
    <w:p w14:paraId="0000019E" w14:textId="60E6BF14" w:rsidR="00625C02" w:rsidRDefault="00A22398" w:rsidP="008B2C0A">
      <w:pPr>
        <w:numPr>
          <w:ilvl w:val="0"/>
          <w:numId w:val="20"/>
        </w:numPr>
        <w:pBdr>
          <w:top w:val="nil"/>
          <w:left w:val="nil"/>
          <w:bottom w:val="nil"/>
          <w:right w:val="nil"/>
          <w:between w:val="nil"/>
        </w:pBdr>
        <w:spacing w:after="120" w:line="360" w:lineRule="auto"/>
        <w:rPr>
          <w:color w:val="000000"/>
        </w:rPr>
      </w:pPr>
      <w:r>
        <w:rPr>
          <w:color w:val="000000"/>
        </w:rPr>
        <w:t>Establishing national standards for visual rehabilitation services, aligned with WHO guidelines</w:t>
      </w:r>
      <w:r w:rsidR="004C31DC">
        <w:rPr>
          <w:color w:val="000000"/>
          <w:vertAlign w:val="superscript"/>
        </w:rPr>
        <w:t>44</w:t>
      </w:r>
      <w:r>
        <w:rPr>
          <w:color w:val="000000"/>
        </w:rPr>
        <w:t xml:space="preserve"> </w:t>
      </w:r>
    </w:p>
    <w:p w14:paraId="0000019F" w14:textId="77777777" w:rsidR="00625C02" w:rsidRDefault="00A22398">
      <w:pPr>
        <w:pBdr>
          <w:top w:val="nil"/>
          <w:left w:val="nil"/>
          <w:bottom w:val="nil"/>
          <w:right w:val="nil"/>
          <w:between w:val="nil"/>
        </w:pBdr>
        <w:spacing w:before="120" w:after="120" w:line="360" w:lineRule="auto"/>
        <w:rPr>
          <w:b/>
          <w:color w:val="000000"/>
        </w:rPr>
      </w:pPr>
      <w:r>
        <w:rPr>
          <w:b/>
          <w:color w:val="000000"/>
        </w:rPr>
        <w:t>4.3 Patient education and empowerment for better outcomes</w:t>
      </w:r>
    </w:p>
    <w:p w14:paraId="000001A0" w14:textId="14EEABD5" w:rsidR="00625C02" w:rsidRDefault="00A22398">
      <w:pPr>
        <w:pBdr>
          <w:top w:val="nil"/>
          <w:left w:val="nil"/>
          <w:bottom w:val="nil"/>
          <w:right w:val="nil"/>
          <w:between w:val="nil"/>
        </w:pBdr>
        <w:spacing w:before="120" w:after="120" w:line="360" w:lineRule="auto"/>
        <w:rPr>
          <w:color w:val="000000"/>
        </w:rPr>
      </w:pPr>
      <w:r>
        <w:rPr>
          <w:color w:val="000000"/>
        </w:rPr>
        <w:t>Knowledge can be empowering for patients managing chronic diseases. Empowered patients are more likely to adhere to treatment regimens and attend regular follow-ups, which correlates with better visual outcomes.</w:t>
      </w:r>
      <w:r w:rsidR="004C31DC">
        <w:rPr>
          <w:color w:val="000000"/>
          <w:vertAlign w:val="superscript"/>
        </w:rPr>
        <w:t>1,50</w:t>
      </w:r>
      <w:r w:rsidR="00F1348B">
        <w:rPr>
          <w:color w:val="000000"/>
          <w:vertAlign w:val="superscript"/>
        </w:rPr>
        <w:t>-</w:t>
      </w:r>
      <w:r w:rsidR="00A67948">
        <w:rPr>
          <w:color w:val="000000"/>
          <w:vertAlign w:val="superscript"/>
        </w:rPr>
        <w:t>53</w:t>
      </w:r>
      <w:r>
        <w:rPr>
          <w:color w:val="000000"/>
        </w:rPr>
        <w:t xml:space="preserve"> Patient education program</w:t>
      </w:r>
      <w:r w:rsidR="009A700C">
        <w:rPr>
          <w:color w:val="000000"/>
        </w:rPr>
        <w:t>me</w:t>
      </w:r>
      <w:r>
        <w:rPr>
          <w:color w:val="000000"/>
        </w:rPr>
        <w:t xml:space="preserve">s should focus on early warning signs, </w:t>
      </w:r>
      <w:r>
        <w:rPr>
          <w:color w:val="000000"/>
        </w:rPr>
        <w:lastRenderedPageBreak/>
        <w:t xml:space="preserve">lifestyle adjustments, treatment adherence and the importance of regular check-ups, empowering them to actively participate in their care. </w:t>
      </w:r>
    </w:p>
    <w:p w14:paraId="000001A1" w14:textId="110489EB" w:rsidR="00625C02" w:rsidRDefault="00A22398">
      <w:pPr>
        <w:pBdr>
          <w:top w:val="nil"/>
          <w:left w:val="nil"/>
          <w:bottom w:val="nil"/>
          <w:right w:val="nil"/>
          <w:between w:val="nil"/>
        </w:pBdr>
        <w:spacing w:before="120" w:after="120" w:line="360" w:lineRule="auto"/>
        <w:rPr>
          <w:color w:val="000000"/>
        </w:rPr>
      </w:pPr>
      <w:r>
        <w:rPr>
          <w:color w:val="000000"/>
        </w:rPr>
        <w:t>Countries in CEE lag in patient-centred education strategies, and</w:t>
      </w:r>
      <w:r w:rsidR="00741309">
        <w:rPr>
          <w:color w:val="000000"/>
        </w:rPr>
        <w:t xml:space="preserve"> the</w:t>
      </w:r>
      <w:r>
        <w:rPr>
          <w:color w:val="000000"/>
        </w:rPr>
        <w:t xml:space="preserve"> inconsistencies in communication from providers, </w:t>
      </w:r>
      <w:r w:rsidR="00741309">
        <w:rPr>
          <w:color w:val="000000"/>
        </w:rPr>
        <w:t xml:space="preserve">lack of </w:t>
      </w:r>
      <w:r>
        <w:rPr>
          <w:color w:val="000000"/>
        </w:rPr>
        <w:t xml:space="preserve">accessible materials, and </w:t>
      </w:r>
      <w:r w:rsidR="00741309">
        <w:rPr>
          <w:color w:val="000000"/>
        </w:rPr>
        <w:t xml:space="preserve">fragmented </w:t>
      </w:r>
      <w:r>
        <w:rPr>
          <w:color w:val="000000"/>
        </w:rPr>
        <w:t>use of digital health tools all contribute to gaps in understanding.</w:t>
      </w:r>
      <w:r w:rsidR="004B63AF">
        <w:rPr>
          <w:color w:val="000000"/>
          <w:vertAlign w:val="superscript"/>
        </w:rPr>
        <w:t>1</w:t>
      </w:r>
      <w:r w:rsidR="00A67948">
        <w:rPr>
          <w:color w:val="000000"/>
          <w:vertAlign w:val="superscript"/>
        </w:rPr>
        <w:t>,51</w:t>
      </w:r>
      <w:r>
        <w:rPr>
          <w:color w:val="000000"/>
        </w:rPr>
        <w:t xml:space="preserve"> The American Academy of Ophthalmology’s “EyeSmart” program</w:t>
      </w:r>
      <w:r w:rsidR="009A700C">
        <w:rPr>
          <w:color w:val="000000"/>
        </w:rPr>
        <w:t>me</w:t>
      </w:r>
      <w:r>
        <w:rPr>
          <w:color w:val="000000"/>
        </w:rPr>
        <w:t xml:space="preserve"> and France’s public health campaigns on diabetic eye disease offer scalable models. These initiatives have improved early detection and increased adherence through education.</w:t>
      </w:r>
      <w:r w:rsidR="00FA6305">
        <w:rPr>
          <w:color w:val="000000"/>
          <w:vertAlign w:val="superscript"/>
        </w:rPr>
        <w:t>52</w:t>
      </w:r>
      <w:r>
        <w:rPr>
          <w:color w:val="000000"/>
        </w:rPr>
        <w:t xml:space="preserve"> We can learn from these initiatives, and support their implementation in CEE, including:</w:t>
      </w:r>
    </w:p>
    <w:p w14:paraId="000001A2" w14:textId="5BA66606" w:rsidR="00625C02" w:rsidRDefault="00A22398" w:rsidP="008B2C0A">
      <w:pPr>
        <w:numPr>
          <w:ilvl w:val="0"/>
          <w:numId w:val="21"/>
        </w:numPr>
        <w:pBdr>
          <w:top w:val="nil"/>
          <w:left w:val="nil"/>
          <w:bottom w:val="nil"/>
          <w:right w:val="nil"/>
          <w:between w:val="nil"/>
        </w:pBdr>
        <w:spacing w:before="120" w:after="0" w:line="360" w:lineRule="auto"/>
        <w:rPr>
          <w:color w:val="000000"/>
        </w:rPr>
      </w:pPr>
      <w:r>
        <w:rPr>
          <w:color w:val="000000"/>
        </w:rPr>
        <w:t>Launch of national patient education campaigns focusing on AMD and D</w:t>
      </w:r>
      <w:r w:rsidR="008968D9">
        <w:rPr>
          <w:color w:val="000000"/>
        </w:rPr>
        <w:t>R</w:t>
      </w:r>
      <w:r>
        <w:rPr>
          <w:color w:val="000000"/>
        </w:rPr>
        <w:t xml:space="preserve"> management</w:t>
      </w:r>
    </w:p>
    <w:p w14:paraId="000001A3" w14:textId="7E44DA5C" w:rsidR="00625C02" w:rsidRDefault="00A22398" w:rsidP="008B2C0A">
      <w:pPr>
        <w:numPr>
          <w:ilvl w:val="0"/>
          <w:numId w:val="21"/>
        </w:numPr>
        <w:pBdr>
          <w:top w:val="nil"/>
          <w:left w:val="nil"/>
          <w:bottom w:val="nil"/>
          <w:right w:val="nil"/>
          <w:between w:val="nil"/>
        </w:pBdr>
        <w:spacing w:after="0" w:line="360" w:lineRule="auto"/>
        <w:rPr>
          <w:color w:val="000000"/>
        </w:rPr>
      </w:pPr>
      <w:r>
        <w:rPr>
          <w:color w:val="000000"/>
        </w:rPr>
        <w:t xml:space="preserve">Development </w:t>
      </w:r>
      <w:r w:rsidR="009C03BF">
        <w:rPr>
          <w:color w:val="000000"/>
        </w:rPr>
        <w:t xml:space="preserve">of </w:t>
      </w:r>
      <w:r>
        <w:rPr>
          <w:color w:val="000000"/>
        </w:rPr>
        <w:t>multilingual, low-literacy educational materials for underserved populations</w:t>
      </w:r>
    </w:p>
    <w:p w14:paraId="000001A4" w14:textId="77777777" w:rsidR="00625C02" w:rsidRDefault="00A22398" w:rsidP="008B2C0A">
      <w:pPr>
        <w:numPr>
          <w:ilvl w:val="0"/>
          <w:numId w:val="21"/>
        </w:numPr>
        <w:pBdr>
          <w:top w:val="nil"/>
          <w:left w:val="nil"/>
          <w:bottom w:val="nil"/>
          <w:right w:val="nil"/>
          <w:between w:val="nil"/>
        </w:pBdr>
        <w:spacing w:after="0" w:line="360" w:lineRule="auto"/>
        <w:rPr>
          <w:color w:val="000000"/>
        </w:rPr>
      </w:pPr>
      <w:r>
        <w:rPr>
          <w:color w:val="000000"/>
        </w:rPr>
        <w:t>Promotion of mobile health tools (e.g., AI-driven symptom trackers) to enhance patient engagement</w:t>
      </w:r>
    </w:p>
    <w:p w14:paraId="000001A5" w14:textId="77777777" w:rsidR="00625C02" w:rsidRDefault="00A22398" w:rsidP="008B2C0A">
      <w:pPr>
        <w:numPr>
          <w:ilvl w:val="0"/>
          <w:numId w:val="21"/>
        </w:numPr>
        <w:pBdr>
          <w:top w:val="nil"/>
          <w:left w:val="nil"/>
          <w:bottom w:val="nil"/>
          <w:right w:val="nil"/>
          <w:between w:val="nil"/>
        </w:pBdr>
        <w:spacing w:after="120" w:line="360" w:lineRule="auto"/>
        <w:rPr>
          <w:color w:val="000000"/>
        </w:rPr>
      </w:pPr>
      <w:r>
        <w:rPr>
          <w:color w:val="000000"/>
        </w:rPr>
        <w:t>Train clinicians in shared decision-making and communication skills to strengthen patient-provider relationships</w:t>
      </w:r>
    </w:p>
    <w:p w14:paraId="000001A6" w14:textId="77777777" w:rsidR="00625C02" w:rsidRDefault="00A22398">
      <w:pPr>
        <w:pBdr>
          <w:top w:val="nil"/>
          <w:left w:val="nil"/>
          <w:bottom w:val="nil"/>
          <w:right w:val="nil"/>
          <w:between w:val="nil"/>
        </w:pBdr>
        <w:spacing w:before="120" w:after="120" w:line="360" w:lineRule="auto"/>
        <w:rPr>
          <w:color w:val="000000"/>
        </w:rPr>
      </w:pPr>
      <w:r>
        <w:rPr>
          <w:b/>
          <w:color w:val="000000"/>
        </w:rPr>
        <w:t>4.4 Integration of comprehensive aftercare programmes</w:t>
      </w:r>
    </w:p>
    <w:p w14:paraId="000001A7" w14:textId="71647801" w:rsidR="00625C02" w:rsidRDefault="00A22398">
      <w:pPr>
        <w:pBdr>
          <w:top w:val="nil"/>
          <w:left w:val="nil"/>
          <w:bottom w:val="nil"/>
          <w:right w:val="nil"/>
          <w:between w:val="nil"/>
        </w:pBdr>
        <w:spacing w:before="120" w:after="120" w:line="360" w:lineRule="auto"/>
        <w:rPr>
          <w:color w:val="000000"/>
        </w:rPr>
      </w:pPr>
      <w:r>
        <w:rPr>
          <w:color w:val="000000"/>
        </w:rPr>
        <w:t>Effective aftercare depends on integrated healthcare systems that connect primary care providers, ophthalmologists, rehabilitation centres, and community resources. Fragmented services are common in CEE healthcare systems which disrupts continuity of care and increases patient attrition.</w:t>
      </w:r>
      <w:r w:rsidR="0040579A">
        <w:rPr>
          <w:color w:val="000000"/>
          <w:vertAlign w:val="superscript"/>
        </w:rPr>
        <w:t>1,6</w:t>
      </w:r>
      <w:r>
        <w:rPr>
          <w:color w:val="000000"/>
        </w:rPr>
        <w:t xml:space="preserve"> The Netherlands' "Integrated Chronic Care Model" for diabetes includes coordinated ophthalmology services, ensuring systematic eye exams and post-diagnosis support.</w:t>
      </w:r>
      <w:r w:rsidR="00122EA4">
        <w:rPr>
          <w:color w:val="000000"/>
          <w:vertAlign w:val="superscript"/>
        </w:rPr>
        <w:t>53</w:t>
      </w:r>
      <w:r>
        <w:rPr>
          <w:color w:val="000000"/>
        </w:rPr>
        <w:t xml:space="preserve"> We can achieve similar outcomes in CEE through:</w:t>
      </w:r>
    </w:p>
    <w:p w14:paraId="000001A8" w14:textId="77777777" w:rsidR="00625C02" w:rsidRDefault="00A22398" w:rsidP="008B2C0A">
      <w:pPr>
        <w:numPr>
          <w:ilvl w:val="0"/>
          <w:numId w:val="2"/>
        </w:numPr>
        <w:pBdr>
          <w:top w:val="nil"/>
          <w:left w:val="nil"/>
          <w:bottom w:val="nil"/>
          <w:right w:val="nil"/>
          <w:between w:val="nil"/>
        </w:pBdr>
        <w:spacing w:before="120" w:after="0" w:line="360" w:lineRule="auto"/>
        <w:rPr>
          <w:color w:val="000000"/>
        </w:rPr>
      </w:pPr>
      <w:r>
        <w:rPr>
          <w:color w:val="000000"/>
        </w:rPr>
        <w:t>Creation of multidisciplinary retinal care teams within hospitals with established funding for long-term monitoring and rehabilitation programmes</w:t>
      </w:r>
    </w:p>
    <w:p w14:paraId="000001A9" w14:textId="77777777" w:rsidR="00625C02" w:rsidRDefault="00A22398" w:rsidP="008B2C0A">
      <w:pPr>
        <w:numPr>
          <w:ilvl w:val="0"/>
          <w:numId w:val="2"/>
        </w:numPr>
        <w:pBdr>
          <w:top w:val="nil"/>
          <w:left w:val="nil"/>
          <w:bottom w:val="nil"/>
          <w:right w:val="nil"/>
          <w:between w:val="nil"/>
        </w:pBdr>
        <w:spacing w:after="0" w:line="360" w:lineRule="auto"/>
        <w:rPr>
          <w:color w:val="000000"/>
        </w:rPr>
      </w:pPr>
      <w:r>
        <w:rPr>
          <w:color w:val="000000"/>
        </w:rPr>
        <w:t>Standardisation of referral protocols linking ophthalmologists with rehabilitation and support services</w:t>
      </w:r>
    </w:p>
    <w:p w14:paraId="000001AA" w14:textId="77777777" w:rsidR="00625C02" w:rsidRDefault="00A22398" w:rsidP="008B2C0A">
      <w:pPr>
        <w:numPr>
          <w:ilvl w:val="0"/>
          <w:numId w:val="2"/>
        </w:numPr>
        <w:pBdr>
          <w:top w:val="nil"/>
          <w:left w:val="nil"/>
          <w:bottom w:val="nil"/>
          <w:right w:val="nil"/>
          <w:between w:val="nil"/>
        </w:pBdr>
        <w:spacing w:after="0" w:line="360" w:lineRule="auto"/>
        <w:rPr>
          <w:color w:val="000000"/>
        </w:rPr>
      </w:pPr>
      <w:r>
        <w:rPr>
          <w:color w:val="000000"/>
        </w:rPr>
        <w:t>Expansion of telemedicine consultations to increase access in rural and remote regions</w:t>
      </w:r>
    </w:p>
    <w:p w14:paraId="000001AB" w14:textId="77777777" w:rsidR="00625C02" w:rsidRDefault="00A22398" w:rsidP="008B2C0A">
      <w:pPr>
        <w:numPr>
          <w:ilvl w:val="0"/>
          <w:numId w:val="2"/>
        </w:numPr>
        <w:pBdr>
          <w:top w:val="nil"/>
          <w:left w:val="nil"/>
          <w:bottom w:val="nil"/>
          <w:right w:val="nil"/>
          <w:between w:val="nil"/>
        </w:pBdr>
        <w:spacing w:after="0" w:line="360" w:lineRule="auto"/>
        <w:rPr>
          <w:color w:val="000000"/>
        </w:rPr>
      </w:pPr>
      <w:r>
        <w:rPr>
          <w:color w:val="000000"/>
        </w:rPr>
        <w:t>Alignment of reimbursement systems to support continuity of care beyond initial treatment</w:t>
      </w:r>
    </w:p>
    <w:p w14:paraId="34BE7BAC" w14:textId="4923BA84" w:rsidR="00DE7C9C" w:rsidRPr="0097660A" w:rsidRDefault="00DE7C9C" w:rsidP="0097660A">
      <w:pPr>
        <w:pStyle w:val="ListParagraph"/>
        <w:numPr>
          <w:ilvl w:val="0"/>
          <w:numId w:val="2"/>
        </w:numPr>
        <w:rPr>
          <w:color w:val="000000"/>
        </w:rPr>
      </w:pPr>
      <w:r w:rsidRPr="00DE7C9C">
        <w:rPr>
          <w:color w:val="000000"/>
        </w:rPr>
        <w:t xml:space="preserve">Strengthening </w:t>
      </w:r>
      <w:r w:rsidR="0054399E">
        <w:rPr>
          <w:color w:val="000000"/>
        </w:rPr>
        <w:t xml:space="preserve">of </w:t>
      </w:r>
      <w:r w:rsidRPr="00DE7C9C">
        <w:rPr>
          <w:color w:val="000000"/>
        </w:rPr>
        <w:t xml:space="preserve">collaboration between medical professionals and social services </w:t>
      </w:r>
      <w:r w:rsidR="0054399E">
        <w:rPr>
          <w:color w:val="000000"/>
        </w:rPr>
        <w:t xml:space="preserve">to </w:t>
      </w:r>
      <w:r w:rsidRPr="00DE7C9C">
        <w:rPr>
          <w:color w:val="000000"/>
        </w:rPr>
        <w:t>foster continuity of care and ensure no patient is receiving substandard care</w:t>
      </w:r>
    </w:p>
    <w:p w14:paraId="000001BF" w14:textId="045A8971" w:rsidR="00625C02" w:rsidRPr="00122EA4" w:rsidRDefault="00A22398" w:rsidP="00122EA4">
      <w:pPr>
        <w:pBdr>
          <w:top w:val="nil"/>
          <w:left w:val="nil"/>
          <w:bottom w:val="nil"/>
          <w:right w:val="nil"/>
          <w:between w:val="nil"/>
        </w:pBdr>
        <w:spacing w:after="120" w:line="360" w:lineRule="auto"/>
        <w:rPr>
          <w:color w:val="000000"/>
        </w:rPr>
      </w:pPr>
      <w:r>
        <w:rPr>
          <w:color w:val="000000"/>
        </w:rPr>
        <w:t>Strengthening collaboration between medical professionals and social services fosters continuity of care and ensures no patient in the region is receiving substandard care.</w:t>
      </w:r>
      <w:r>
        <w:br w:type="page"/>
      </w:r>
    </w:p>
    <w:p w14:paraId="000001C0" w14:textId="6067CCEE" w:rsidR="00625C02" w:rsidRPr="00402D81" w:rsidRDefault="00A22398">
      <w:pPr>
        <w:pStyle w:val="Heading2"/>
        <w:spacing w:before="120" w:after="120" w:line="360" w:lineRule="auto"/>
        <w:jc w:val="center"/>
        <w:rPr>
          <w:rFonts w:asciiTheme="minorBidi" w:hAnsiTheme="minorBidi" w:cstheme="minorBidi"/>
          <w:sz w:val="22"/>
          <w:szCs w:val="22"/>
        </w:rPr>
      </w:pPr>
      <w:bookmarkStart w:id="7" w:name="_Toc210130062"/>
      <w:r w:rsidRPr="00402D81">
        <w:rPr>
          <w:rFonts w:asciiTheme="minorBidi" w:hAnsiTheme="minorBidi" w:cstheme="minorBidi"/>
          <w:b/>
          <w:sz w:val="22"/>
          <w:szCs w:val="22"/>
        </w:rPr>
        <w:lastRenderedPageBreak/>
        <w:t>CHAPTER 5</w:t>
      </w:r>
      <w:r w:rsidRPr="00402D81">
        <w:rPr>
          <w:rFonts w:asciiTheme="minorBidi" w:hAnsiTheme="minorBidi" w:cstheme="minorBidi"/>
          <w:b/>
          <w:sz w:val="22"/>
          <w:szCs w:val="22"/>
        </w:rPr>
        <w:br/>
      </w:r>
      <w:r w:rsidRPr="00402D81">
        <w:rPr>
          <w:rFonts w:asciiTheme="minorBidi" w:hAnsiTheme="minorBidi" w:cstheme="minorBidi"/>
          <w:sz w:val="22"/>
          <w:szCs w:val="22"/>
        </w:rPr>
        <w:t>ADAPTING BEST PRACTICES FROM WESTERN EUROPE AND THE USA</w:t>
      </w:r>
      <w:bookmarkEnd w:id="7"/>
    </w:p>
    <w:p w14:paraId="000001C1" w14:textId="77777777" w:rsidR="00625C02" w:rsidRDefault="00A22398">
      <w:pPr>
        <w:pBdr>
          <w:top w:val="nil"/>
          <w:left w:val="nil"/>
          <w:bottom w:val="nil"/>
          <w:right w:val="nil"/>
          <w:between w:val="nil"/>
        </w:pBdr>
        <w:spacing w:before="120" w:after="120" w:line="360" w:lineRule="auto"/>
        <w:rPr>
          <w:b/>
          <w:color w:val="000000"/>
        </w:rPr>
      </w:pPr>
      <w:r>
        <w:rPr>
          <w:b/>
          <w:color w:val="000000"/>
        </w:rPr>
        <w:t>5.0 Embarking on improvement of care</w:t>
      </w:r>
    </w:p>
    <w:p w14:paraId="000001C2" w14:textId="4D1C4A55" w:rsidR="00625C02" w:rsidRDefault="00A22398">
      <w:pPr>
        <w:pBdr>
          <w:top w:val="nil"/>
          <w:left w:val="nil"/>
          <w:bottom w:val="nil"/>
          <w:right w:val="nil"/>
          <w:between w:val="nil"/>
        </w:pBdr>
        <w:spacing w:before="120" w:after="120" w:line="360" w:lineRule="auto"/>
        <w:rPr>
          <w:color w:val="000000"/>
        </w:rPr>
      </w:pPr>
      <w:r>
        <w:rPr>
          <w:color w:val="000000"/>
        </w:rPr>
        <w:t>To achieve equitable and effective care, we can learn from our neighbours and other healthcare systems further afield. As CEE embarks on the improvement of care and services for those diagnosed with AMD and D</w:t>
      </w:r>
      <w:r w:rsidR="008968D9">
        <w:rPr>
          <w:color w:val="000000"/>
        </w:rPr>
        <w:t>R</w:t>
      </w:r>
      <w:r>
        <w:rPr>
          <w:color w:val="000000"/>
        </w:rPr>
        <w:t>, lessons can be adapted and adopted from Western Europe and the USA. These regions have already been successfully implementing initiatives to help prevent vision loss.</w:t>
      </w:r>
    </w:p>
    <w:p w14:paraId="000001C3" w14:textId="77777777" w:rsidR="00625C02" w:rsidRDefault="00A22398">
      <w:pPr>
        <w:pBdr>
          <w:top w:val="nil"/>
          <w:left w:val="nil"/>
          <w:bottom w:val="nil"/>
          <w:right w:val="nil"/>
          <w:between w:val="nil"/>
        </w:pBdr>
        <w:spacing w:before="120" w:after="120" w:line="360" w:lineRule="auto"/>
        <w:rPr>
          <w:color w:val="000000"/>
        </w:rPr>
      </w:pPr>
      <w:r>
        <w:rPr>
          <w:b/>
          <w:color w:val="000000"/>
        </w:rPr>
        <w:t>5.1 Standardised screening programmes</w:t>
      </w:r>
    </w:p>
    <w:p w14:paraId="000001C4" w14:textId="375B039E" w:rsidR="00625C02" w:rsidRDefault="00A22398">
      <w:pPr>
        <w:pBdr>
          <w:top w:val="nil"/>
          <w:left w:val="nil"/>
          <w:bottom w:val="nil"/>
          <w:right w:val="nil"/>
          <w:between w:val="nil"/>
        </w:pBdr>
        <w:spacing w:before="120" w:after="120" w:line="360" w:lineRule="auto"/>
        <w:rPr>
          <w:color w:val="000000"/>
        </w:rPr>
      </w:pPr>
      <w:r>
        <w:rPr>
          <w:color w:val="000000"/>
        </w:rPr>
        <w:t>Western Europe and the USA have nationwide retinal screening initiatives, particularly for diabetic retinopathy. The UK’s Diabetic Eye Screening Program</w:t>
      </w:r>
      <w:r w:rsidR="009A700C">
        <w:rPr>
          <w:color w:val="000000"/>
        </w:rPr>
        <w:t>me</w:t>
      </w:r>
      <w:r>
        <w:rPr>
          <w:color w:val="000000"/>
        </w:rPr>
        <w:t xml:space="preserve"> ensures annual retinal exams with high coverage and has reduced diabetes-related blindness.</w:t>
      </w:r>
      <w:r w:rsidR="00FE7BB7">
        <w:rPr>
          <w:color w:val="000000"/>
          <w:vertAlign w:val="superscript"/>
        </w:rPr>
        <w:t>42</w:t>
      </w:r>
      <w:r>
        <w:rPr>
          <w:color w:val="000000"/>
        </w:rPr>
        <w:t xml:space="preserve"> Implementing similar structured screening program</w:t>
      </w:r>
      <w:r w:rsidR="009A700C">
        <w:rPr>
          <w:color w:val="000000"/>
        </w:rPr>
        <w:t>me</w:t>
      </w:r>
      <w:r>
        <w:rPr>
          <w:color w:val="000000"/>
        </w:rPr>
        <w:t>s in this region could lead to earlier detection and intervention, reducing preventable vision loss.</w:t>
      </w:r>
    </w:p>
    <w:p w14:paraId="000001C5" w14:textId="77777777" w:rsidR="00625C02" w:rsidRDefault="00A22398">
      <w:pPr>
        <w:pBdr>
          <w:top w:val="nil"/>
          <w:left w:val="nil"/>
          <w:bottom w:val="nil"/>
          <w:right w:val="nil"/>
          <w:between w:val="nil"/>
        </w:pBdr>
        <w:spacing w:before="120" w:after="120" w:line="360" w:lineRule="auto"/>
        <w:rPr>
          <w:color w:val="000000"/>
        </w:rPr>
      </w:pPr>
      <w:r>
        <w:rPr>
          <w:b/>
          <w:color w:val="000000"/>
        </w:rPr>
        <w:t xml:space="preserve">5.2 Access to advanced diagnostic technologies </w:t>
      </w:r>
    </w:p>
    <w:p w14:paraId="000001C6" w14:textId="3F8E3049" w:rsidR="00625C02" w:rsidRDefault="00A22398">
      <w:pPr>
        <w:pBdr>
          <w:top w:val="nil"/>
          <w:left w:val="nil"/>
          <w:bottom w:val="nil"/>
          <w:right w:val="nil"/>
          <w:between w:val="nil"/>
        </w:pBdr>
        <w:spacing w:before="120" w:after="120" w:line="360" w:lineRule="auto"/>
        <w:rPr>
          <w:color w:val="000000"/>
        </w:rPr>
      </w:pPr>
      <w:r>
        <w:rPr>
          <w:color w:val="000000"/>
        </w:rPr>
        <w:t>Countries like the UK, Germany, and the USA have widespread access to OCT imaging, AI-assisted diagnostics, and tele-ophthalmology.</w:t>
      </w:r>
      <w:r w:rsidR="00FE7BB7">
        <w:rPr>
          <w:color w:val="000000"/>
          <w:vertAlign w:val="superscript"/>
        </w:rPr>
        <w:t>42,43</w:t>
      </w:r>
      <w:r>
        <w:rPr>
          <w:color w:val="000000"/>
        </w:rPr>
        <w:t xml:space="preserve"> In the USA, Medicare reimburses regular OCT scans, encouraging early detection whilst in the UK, OCT imaging is available during regular optometrist visits.</w:t>
      </w:r>
      <w:r w:rsidR="008D1FA2">
        <w:rPr>
          <w:color w:val="000000"/>
          <w:vertAlign w:val="superscript"/>
        </w:rPr>
        <w:t>42,45</w:t>
      </w:r>
      <w:r>
        <w:rPr>
          <w:color w:val="000000"/>
        </w:rPr>
        <w:t xml:space="preserve"> Investing and providing access to modern diagnostic tools and digital health solutions will improve early detection rates in this region.</w:t>
      </w:r>
    </w:p>
    <w:p w14:paraId="000001C7" w14:textId="77777777" w:rsidR="00625C02" w:rsidRDefault="00A22398">
      <w:pPr>
        <w:pBdr>
          <w:top w:val="nil"/>
          <w:left w:val="nil"/>
          <w:bottom w:val="nil"/>
          <w:right w:val="nil"/>
          <w:between w:val="nil"/>
        </w:pBdr>
        <w:spacing w:before="120" w:after="120" w:line="360" w:lineRule="auto"/>
        <w:rPr>
          <w:color w:val="000000"/>
        </w:rPr>
      </w:pPr>
      <w:r>
        <w:rPr>
          <w:b/>
          <w:color w:val="000000"/>
        </w:rPr>
        <w:t>5.3 Integrated healthcare models</w:t>
      </w:r>
    </w:p>
    <w:p w14:paraId="000001C8" w14:textId="3712237B" w:rsidR="00625C02" w:rsidRDefault="00A22398">
      <w:pPr>
        <w:pBdr>
          <w:top w:val="nil"/>
          <w:left w:val="nil"/>
          <w:bottom w:val="nil"/>
          <w:right w:val="nil"/>
          <w:between w:val="nil"/>
        </w:pBdr>
        <w:spacing w:before="120" w:after="120" w:line="360" w:lineRule="auto"/>
        <w:rPr>
          <w:color w:val="000000"/>
        </w:rPr>
      </w:pPr>
      <w:r>
        <w:rPr>
          <w:color w:val="000000"/>
        </w:rPr>
        <w:t>USA and Western Europe emphasise multidisciplinary retinal care, where ophthalmologists, endocrinologists, and primary care providers collaborate on patient management.</w:t>
      </w:r>
      <w:r w:rsidR="008D1FA2">
        <w:rPr>
          <w:color w:val="000000"/>
          <w:vertAlign w:val="superscript"/>
        </w:rPr>
        <w:t>6,42,43</w:t>
      </w:r>
      <w:r>
        <w:rPr>
          <w:color w:val="000000"/>
        </w:rPr>
        <w:t xml:space="preserve"> Germany’s Disease Management Program</w:t>
      </w:r>
      <w:r w:rsidR="009A700C">
        <w:rPr>
          <w:color w:val="000000"/>
        </w:rPr>
        <w:t>me</w:t>
      </w:r>
      <w:r>
        <w:rPr>
          <w:color w:val="000000"/>
        </w:rPr>
        <w:t xml:space="preserve"> for diabetes integrates retinal screening for D</w:t>
      </w:r>
      <w:r w:rsidR="008968D9">
        <w:rPr>
          <w:color w:val="000000"/>
        </w:rPr>
        <w:t>R</w:t>
      </w:r>
      <w:r>
        <w:rPr>
          <w:color w:val="000000"/>
        </w:rPr>
        <w:t>, improving care coordination.</w:t>
      </w:r>
      <w:r w:rsidR="008D1FA2">
        <w:rPr>
          <w:color w:val="000000"/>
          <w:vertAlign w:val="superscript"/>
        </w:rPr>
        <w:t>49</w:t>
      </w:r>
      <w:r>
        <w:rPr>
          <w:color w:val="000000"/>
        </w:rPr>
        <w:t xml:space="preserve"> Strengthening cross-specialty coordination in this region will enhance patient outcomes.</w:t>
      </w:r>
    </w:p>
    <w:p w14:paraId="000001C9" w14:textId="111E0DEF" w:rsidR="00625C02" w:rsidRDefault="00A22398">
      <w:pPr>
        <w:pBdr>
          <w:top w:val="nil"/>
          <w:left w:val="nil"/>
          <w:bottom w:val="nil"/>
          <w:right w:val="nil"/>
          <w:between w:val="nil"/>
        </w:pBdr>
        <w:spacing w:before="120" w:after="120" w:line="360" w:lineRule="auto"/>
        <w:rPr>
          <w:color w:val="000000"/>
        </w:rPr>
      </w:pPr>
      <w:r>
        <w:rPr>
          <w:b/>
          <w:color w:val="000000"/>
        </w:rPr>
        <w:t xml:space="preserve">5.4 Improved access to </w:t>
      </w:r>
      <w:r w:rsidR="00DC2C3D">
        <w:rPr>
          <w:b/>
          <w:color w:val="000000"/>
        </w:rPr>
        <w:t>a</w:t>
      </w:r>
      <w:r>
        <w:rPr>
          <w:b/>
          <w:color w:val="000000"/>
        </w:rPr>
        <w:t>nti-VEGF therapy</w:t>
      </w:r>
    </w:p>
    <w:p w14:paraId="000001CA" w14:textId="4A88948B" w:rsidR="00625C02" w:rsidRDefault="00A22398">
      <w:pPr>
        <w:pBdr>
          <w:top w:val="nil"/>
          <w:left w:val="nil"/>
          <w:bottom w:val="nil"/>
          <w:right w:val="nil"/>
          <w:between w:val="nil"/>
        </w:pBdr>
        <w:spacing w:before="120" w:after="120" w:line="360" w:lineRule="auto"/>
        <w:rPr>
          <w:color w:val="000000"/>
        </w:rPr>
      </w:pPr>
      <w:r>
        <w:rPr>
          <w:color w:val="000000"/>
        </w:rPr>
        <w:t>Western Europe and USA have reimbursement policies for anti-VEGF injections, ensuring wider accessibility for</w:t>
      </w:r>
      <w:r w:rsidR="00A04FE4">
        <w:rPr>
          <w:color w:val="000000"/>
        </w:rPr>
        <w:t xml:space="preserve"> patients with</w:t>
      </w:r>
      <w:r>
        <w:rPr>
          <w:color w:val="000000"/>
        </w:rPr>
        <w:t xml:space="preserve"> AMD and D</w:t>
      </w:r>
      <w:r w:rsidR="00A04FE4">
        <w:rPr>
          <w:color w:val="000000"/>
        </w:rPr>
        <w:t>R</w:t>
      </w:r>
      <w:r>
        <w:rPr>
          <w:color w:val="000000"/>
        </w:rPr>
        <w:t>.</w:t>
      </w:r>
      <w:r w:rsidR="009479FF">
        <w:rPr>
          <w:color w:val="000000"/>
          <w:vertAlign w:val="superscript"/>
        </w:rPr>
        <w:t>37,</w:t>
      </w:r>
      <w:r w:rsidR="008D1FA2">
        <w:rPr>
          <w:color w:val="000000"/>
          <w:vertAlign w:val="superscript"/>
        </w:rPr>
        <w:t>42</w:t>
      </w:r>
      <w:r w:rsidR="009479FF">
        <w:rPr>
          <w:color w:val="000000"/>
          <w:vertAlign w:val="superscript"/>
        </w:rPr>
        <w:t>,45</w:t>
      </w:r>
      <w:r>
        <w:rPr>
          <w:color w:val="000000"/>
        </w:rPr>
        <w:t xml:space="preserve"> Aligning funding models in CEE can reduce financial barriers to treatment.</w:t>
      </w:r>
    </w:p>
    <w:p w14:paraId="000001CB" w14:textId="77777777" w:rsidR="00625C02" w:rsidRDefault="00A22398">
      <w:pPr>
        <w:pBdr>
          <w:top w:val="nil"/>
          <w:left w:val="nil"/>
          <w:bottom w:val="nil"/>
          <w:right w:val="nil"/>
          <w:between w:val="nil"/>
        </w:pBdr>
        <w:spacing w:before="120" w:after="120" w:line="360" w:lineRule="auto"/>
        <w:rPr>
          <w:color w:val="000000"/>
        </w:rPr>
      </w:pPr>
      <w:r>
        <w:rPr>
          <w:b/>
          <w:color w:val="000000"/>
        </w:rPr>
        <w:t>5.5 Telemedicine and home monitoring</w:t>
      </w:r>
    </w:p>
    <w:p w14:paraId="000001CC" w14:textId="4540A8DD" w:rsidR="00625C02" w:rsidRDefault="00A22398">
      <w:pPr>
        <w:pBdr>
          <w:top w:val="nil"/>
          <w:left w:val="nil"/>
          <w:bottom w:val="nil"/>
          <w:right w:val="nil"/>
          <w:between w:val="nil"/>
        </w:pBdr>
        <w:spacing w:before="120" w:after="120" w:line="360" w:lineRule="auto"/>
        <w:rPr>
          <w:color w:val="000000"/>
        </w:rPr>
      </w:pPr>
      <w:r>
        <w:rPr>
          <w:color w:val="000000"/>
        </w:rPr>
        <w:lastRenderedPageBreak/>
        <w:t>During the COVID-19 pandemic, Denmark and the USA expanded virtual eye care, reducing geographic barriers.</w:t>
      </w:r>
      <w:r w:rsidR="009479FF">
        <w:rPr>
          <w:color w:val="000000"/>
          <w:vertAlign w:val="superscript"/>
        </w:rPr>
        <w:t>54,55</w:t>
      </w:r>
      <w:r w:rsidR="00250448">
        <w:rPr>
          <w:color w:val="000000"/>
        </w:rPr>
        <w:t xml:space="preserve"> </w:t>
      </w:r>
      <w:r>
        <w:rPr>
          <w:color w:val="000000"/>
        </w:rPr>
        <w:t>The adoption of remote patient monitoring will reduce patient burden and improve access to care, especially in rural areas.</w:t>
      </w:r>
    </w:p>
    <w:p w14:paraId="000001CD" w14:textId="77777777" w:rsidR="00625C02" w:rsidRDefault="00A22398">
      <w:pPr>
        <w:pBdr>
          <w:top w:val="nil"/>
          <w:left w:val="nil"/>
          <w:bottom w:val="nil"/>
          <w:right w:val="nil"/>
          <w:between w:val="nil"/>
        </w:pBdr>
        <w:spacing w:before="120" w:after="120" w:line="360" w:lineRule="auto"/>
        <w:rPr>
          <w:color w:val="000000"/>
        </w:rPr>
      </w:pPr>
      <w:r>
        <w:rPr>
          <w:b/>
          <w:color w:val="000000"/>
        </w:rPr>
        <w:t>5.6 Research and innovation networks</w:t>
      </w:r>
    </w:p>
    <w:p w14:paraId="000001CE" w14:textId="43750FCA" w:rsidR="00625C02" w:rsidRDefault="00A22398">
      <w:pPr>
        <w:pBdr>
          <w:top w:val="nil"/>
          <w:left w:val="nil"/>
          <w:bottom w:val="nil"/>
          <w:right w:val="nil"/>
          <w:between w:val="nil"/>
        </w:pBdr>
        <w:spacing w:before="120" w:after="120" w:line="360" w:lineRule="auto"/>
        <w:rPr>
          <w:color w:val="000000"/>
        </w:rPr>
      </w:pPr>
      <w:r>
        <w:rPr>
          <w:color w:val="000000"/>
        </w:rPr>
        <w:t xml:space="preserve">The European Vision Institute Clinical Research Network (EVICR.net) provides a collaborative platform for </w:t>
      </w:r>
      <w:r w:rsidR="007411AC">
        <w:rPr>
          <w:color w:val="000000"/>
        </w:rPr>
        <w:t xml:space="preserve">age-related </w:t>
      </w:r>
      <w:r>
        <w:rPr>
          <w:color w:val="000000"/>
        </w:rPr>
        <w:t>retinal disease research.</w:t>
      </w:r>
      <w:r w:rsidR="00CF6856">
        <w:rPr>
          <w:color w:val="000000"/>
          <w:vertAlign w:val="superscript"/>
        </w:rPr>
        <w:t>56</w:t>
      </w:r>
      <w:r>
        <w:rPr>
          <w:color w:val="000000"/>
        </w:rPr>
        <w:t xml:space="preserve"> </w:t>
      </w:r>
    </w:p>
    <w:p w14:paraId="000001CF" w14:textId="15E7563F" w:rsidR="00625C02" w:rsidRDefault="00A22398">
      <w:pPr>
        <w:pBdr>
          <w:top w:val="nil"/>
          <w:left w:val="nil"/>
          <w:bottom w:val="nil"/>
          <w:right w:val="nil"/>
          <w:between w:val="nil"/>
        </w:pBdr>
        <w:spacing w:before="120" w:after="120" w:line="360" w:lineRule="auto"/>
        <w:rPr>
          <w:color w:val="000000"/>
        </w:rPr>
      </w:pPr>
      <w:r>
        <w:rPr>
          <w:color w:val="000000"/>
        </w:rPr>
        <w:t>Organisations like the European Retinal Disease Consortium, the European Vision Institute Clinical Research Network and American Society of Retina Specialists provide a platform for collaborative research and clinical trials in retinal diseases</w:t>
      </w:r>
      <w:r w:rsidR="007411AC">
        <w:rPr>
          <w:color w:val="000000"/>
        </w:rPr>
        <w:t xml:space="preserve"> associate</w:t>
      </w:r>
      <w:r w:rsidR="00B76F7E">
        <w:rPr>
          <w:color w:val="000000"/>
        </w:rPr>
        <w:t>d</w:t>
      </w:r>
      <w:r w:rsidR="007411AC">
        <w:rPr>
          <w:color w:val="000000"/>
        </w:rPr>
        <w:t xml:space="preserve"> with age</w:t>
      </w:r>
      <w:r>
        <w:rPr>
          <w:color w:val="000000"/>
        </w:rPr>
        <w:t>.</w:t>
      </w:r>
      <w:r w:rsidR="00CF6856">
        <w:rPr>
          <w:color w:val="000000"/>
          <w:vertAlign w:val="superscript"/>
        </w:rPr>
        <w:t>56,57,58</w:t>
      </w:r>
      <w:r>
        <w:rPr>
          <w:color w:val="000000"/>
        </w:rPr>
        <w:t xml:space="preserve"> CEE countries should increase participation in such networks to promote innovation, strengthen regional research and clinical trial access. </w:t>
      </w:r>
    </w:p>
    <w:p w14:paraId="6EF07A6C" w14:textId="77777777" w:rsidR="00AD0430" w:rsidRDefault="00AD0430">
      <w:pPr>
        <w:pBdr>
          <w:top w:val="nil"/>
          <w:left w:val="nil"/>
          <w:bottom w:val="nil"/>
          <w:right w:val="nil"/>
          <w:between w:val="nil"/>
        </w:pBdr>
        <w:spacing w:before="120" w:after="120" w:line="360" w:lineRule="auto"/>
        <w:rPr>
          <w:color w:val="000000"/>
        </w:rPr>
      </w:pPr>
    </w:p>
    <w:p w14:paraId="7BB0ACA9" w14:textId="5C31C60E" w:rsidR="00AD0430" w:rsidRPr="00402D81" w:rsidRDefault="00AD0430" w:rsidP="00AD0430">
      <w:pPr>
        <w:pStyle w:val="Heading2"/>
        <w:spacing w:before="120" w:after="120" w:line="360" w:lineRule="auto"/>
        <w:jc w:val="center"/>
        <w:rPr>
          <w:rFonts w:asciiTheme="minorBidi" w:hAnsiTheme="minorBidi" w:cstheme="minorBidi"/>
          <w:sz w:val="22"/>
          <w:szCs w:val="22"/>
        </w:rPr>
      </w:pPr>
      <w:bookmarkStart w:id="8" w:name="_Toc210130063"/>
      <w:r w:rsidRPr="00402D81">
        <w:rPr>
          <w:rFonts w:asciiTheme="minorBidi" w:hAnsiTheme="minorBidi" w:cstheme="minorBidi"/>
          <w:b/>
          <w:sz w:val="22"/>
          <w:szCs w:val="22"/>
        </w:rPr>
        <w:t>CHAPTER 6</w:t>
      </w:r>
      <w:r w:rsidRPr="00402D81">
        <w:rPr>
          <w:rFonts w:asciiTheme="minorBidi" w:hAnsiTheme="minorBidi" w:cstheme="minorBidi"/>
          <w:b/>
          <w:sz w:val="22"/>
          <w:szCs w:val="22"/>
        </w:rPr>
        <w:br/>
      </w:r>
      <w:r w:rsidRPr="00402D81">
        <w:rPr>
          <w:rFonts w:asciiTheme="minorBidi" w:hAnsiTheme="minorBidi" w:cstheme="minorBidi"/>
          <w:sz w:val="22"/>
          <w:szCs w:val="22"/>
        </w:rPr>
        <w:t>CONCLUSION</w:t>
      </w:r>
      <w:bookmarkEnd w:id="8"/>
      <w:r w:rsidRPr="00402D81">
        <w:rPr>
          <w:rFonts w:asciiTheme="minorBidi" w:hAnsiTheme="minorBidi" w:cstheme="minorBidi"/>
          <w:sz w:val="22"/>
          <w:szCs w:val="22"/>
        </w:rPr>
        <w:t xml:space="preserve"> </w:t>
      </w:r>
    </w:p>
    <w:p w14:paraId="43DCD37E" w14:textId="77777777" w:rsidR="00AD0430" w:rsidRDefault="00AD0430" w:rsidP="00AD0430">
      <w:pPr>
        <w:spacing w:after="160" w:line="259" w:lineRule="auto"/>
        <w:rPr>
          <w:b/>
          <w:color w:val="000000"/>
        </w:rPr>
      </w:pPr>
    </w:p>
    <w:p w14:paraId="09AA6B9C" w14:textId="77777777" w:rsidR="00AD0430" w:rsidRDefault="00AD0430" w:rsidP="00AD0430">
      <w:pPr>
        <w:pBdr>
          <w:top w:val="nil"/>
          <w:left w:val="nil"/>
          <w:bottom w:val="nil"/>
          <w:right w:val="nil"/>
          <w:between w:val="nil"/>
        </w:pBdr>
        <w:spacing w:before="120" w:after="120" w:line="360" w:lineRule="auto"/>
      </w:pPr>
      <w:r>
        <w:rPr>
          <w:color w:val="000000"/>
        </w:rPr>
        <w:t xml:space="preserve">We urge policymakers across CEE to transform retinal care infrastructure by prioritising aftercare services. </w:t>
      </w:r>
      <w:r>
        <w:t xml:space="preserve">Governments must move beyond episodic treatment models, invest in holistic, sustainable and standardised retinal healthcare systems and ensure equitable access to aftercare services across CEE. </w:t>
      </w:r>
    </w:p>
    <w:p w14:paraId="69EEE330" w14:textId="77777777" w:rsidR="00AD0430" w:rsidRDefault="00AD0430" w:rsidP="00AD0430">
      <w:pPr>
        <w:pBdr>
          <w:top w:val="nil"/>
          <w:left w:val="nil"/>
          <w:bottom w:val="nil"/>
          <w:right w:val="nil"/>
          <w:between w:val="nil"/>
        </w:pBdr>
        <w:spacing w:before="120" w:after="120" w:line="360" w:lineRule="auto"/>
      </w:pPr>
      <w:r>
        <w:t>In collaboration with policymakers, specialists, non-ophthalmology clinicians and life science companies, we recommend prioritising long-term funding and investment, rapid alignment on medicines reimbursement and multistakeholder partnerships.</w:t>
      </w:r>
    </w:p>
    <w:p w14:paraId="0C8E8607" w14:textId="77777777" w:rsidR="00AD0430" w:rsidRDefault="00AD0430" w:rsidP="00AD0430">
      <w:pPr>
        <w:spacing w:before="120" w:after="120" w:line="360" w:lineRule="auto"/>
        <w:rPr>
          <w:color w:val="000000"/>
        </w:rPr>
      </w:pPr>
      <w:r>
        <w:rPr>
          <w:color w:val="000000"/>
        </w:rPr>
        <w:t xml:space="preserve">Ensuring the long-term well-being of patients with AMD and DR requires more than effective treatments. Management of AMD and DR extends far beyond initial diagnosis and demands a system built around continuity, compassion and coordination. Aftercare services are essential to preserving vision, fostering independence, and closing the health equity gap across CEE. By addressing disparities in follow-up care and implementing comprehensive strategies for monitoring, rehabilitation, and education, CEE countries can significantly improve patient outcomes and quality of life. Governments must take decisive action to prioritise equitable access to retinal care, drawing on best practices from Western Europe and the USA. Sustainable investment in retinal infrastructure and patient-centred aftercare will be essential in transforming the standard of care, ultimately preserving vision and enhancing lives across the region. </w:t>
      </w:r>
    </w:p>
    <w:p w14:paraId="4DA06202" w14:textId="02B3390B" w:rsidR="00E62E40" w:rsidRPr="00CF0676" w:rsidRDefault="00E62E40" w:rsidP="00E62E40">
      <w:pPr>
        <w:spacing w:after="0" w:line="259" w:lineRule="auto"/>
        <w:rPr>
          <w:b/>
          <w:bCs/>
          <w:color w:val="000000"/>
          <w:lang w:val="en-CA"/>
        </w:rPr>
      </w:pPr>
      <w:r w:rsidRPr="00CF0676">
        <w:rPr>
          <w:b/>
          <w:bCs/>
          <w:color w:val="000000"/>
          <w:lang w:val="en-CA"/>
        </w:rPr>
        <w:lastRenderedPageBreak/>
        <w:t>References</w:t>
      </w:r>
    </w:p>
    <w:p w14:paraId="729C9AB1" w14:textId="77777777" w:rsidR="00CF0676" w:rsidRDefault="00CF0676" w:rsidP="00E62E40">
      <w:pPr>
        <w:spacing w:after="0" w:line="259" w:lineRule="auto"/>
        <w:rPr>
          <w:color w:val="000000"/>
          <w:lang w:val="en-CA"/>
        </w:rPr>
      </w:pPr>
    </w:p>
    <w:p w14:paraId="5EE00607" w14:textId="77777777" w:rsidR="00CF0676" w:rsidRPr="00CF0676" w:rsidRDefault="00CF0676" w:rsidP="00CF0676">
      <w:pPr>
        <w:pStyle w:val="ListParagraph"/>
        <w:numPr>
          <w:ilvl w:val="0"/>
          <w:numId w:val="30"/>
        </w:numPr>
        <w:rPr>
          <w:lang w:val="en-CA"/>
        </w:rPr>
      </w:pPr>
      <w:r w:rsidRPr="00CF0676">
        <w:rPr>
          <w:lang w:val="en-CA"/>
        </w:rPr>
        <w:t xml:space="preserve">World Health Organization. (2019). </w:t>
      </w:r>
      <w:r w:rsidRPr="00CF0676">
        <w:rPr>
          <w:i/>
          <w:iCs/>
          <w:lang w:val="en-CA"/>
        </w:rPr>
        <w:t>World report on vision</w:t>
      </w:r>
      <w:r w:rsidRPr="00CF0676">
        <w:rPr>
          <w:lang w:val="en-CA"/>
        </w:rPr>
        <w:t xml:space="preserve">. Geneva: WHO. </w:t>
      </w:r>
      <w:hyperlink r:id="rId44" w:tgtFrame="_new" w:history="1">
        <w:r w:rsidRPr="00CF0676">
          <w:rPr>
            <w:rStyle w:val="Hyperlink"/>
            <w:lang w:val="en-CA"/>
          </w:rPr>
          <w:t>https://www.who.int/publications/i/item/9789241516570</w:t>
        </w:r>
      </w:hyperlink>
    </w:p>
    <w:p w14:paraId="53541FB2" w14:textId="77777777" w:rsidR="00CF0676" w:rsidRPr="00CF0676" w:rsidRDefault="00CF0676" w:rsidP="00CF0676">
      <w:pPr>
        <w:pStyle w:val="ListParagraph"/>
        <w:numPr>
          <w:ilvl w:val="0"/>
          <w:numId w:val="30"/>
        </w:numPr>
        <w:rPr>
          <w:lang w:val="en-CA"/>
        </w:rPr>
      </w:pPr>
      <w:r w:rsidRPr="00CF0676">
        <w:rPr>
          <w:lang w:val="en-CA"/>
        </w:rPr>
        <w:t xml:space="preserve">Retina International. (2023). </w:t>
      </w:r>
      <w:r w:rsidRPr="00CF0676">
        <w:rPr>
          <w:i/>
          <w:iCs/>
          <w:lang w:val="en-CA"/>
        </w:rPr>
        <w:t>Action4AMD: Cost of illness study</w:t>
      </w:r>
      <w:r w:rsidRPr="00CF0676">
        <w:rPr>
          <w:lang w:val="en-CA"/>
        </w:rPr>
        <w:t xml:space="preserve">. </w:t>
      </w:r>
      <w:hyperlink r:id="rId45" w:tgtFrame="_new" w:history="1">
        <w:r w:rsidRPr="00CF0676">
          <w:rPr>
            <w:rStyle w:val="Hyperlink"/>
            <w:lang w:val="en-CA"/>
          </w:rPr>
          <w:t>https://www.retina-international.org/resources/action4amd</w:t>
        </w:r>
      </w:hyperlink>
    </w:p>
    <w:p w14:paraId="5D50D1BE" w14:textId="77777777" w:rsidR="00CF0676" w:rsidRPr="00CF0676" w:rsidRDefault="00CF0676" w:rsidP="00CF0676">
      <w:pPr>
        <w:pStyle w:val="ListParagraph"/>
        <w:numPr>
          <w:ilvl w:val="0"/>
          <w:numId w:val="30"/>
        </w:numPr>
        <w:rPr>
          <w:lang w:val="en-CA"/>
        </w:rPr>
      </w:pPr>
      <w:r w:rsidRPr="00CF0676">
        <w:rPr>
          <w:lang w:val="en-CA"/>
        </w:rPr>
        <w:t xml:space="preserve">World Health Organization. (2023). </w:t>
      </w:r>
      <w:r w:rsidRPr="00CF0676">
        <w:rPr>
          <w:i/>
          <w:iCs/>
          <w:lang w:val="en-CA"/>
        </w:rPr>
        <w:t>Primary prevention and integrated care draft decision (WHA78)</w:t>
      </w:r>
      <w:r w:rsidRPr="00CF0676">
        <w:rPr>
          <w:lang w:val="en-CA"/>
        </w:rPr>
        <w:t>. Geneva: WHO.</w:t>
      </w:r>
    </w:p>
    <w:p w14:paraId="008B5D50" w14:textId="77777777" w:rsidR="00CF0676" w:rsidRPr="00F15669" w:rsidRDefault="00CF0676" w:rsidP="00CF0676">
      <w:pPr>
        <w:pStyle w:val="ListParagraph"/>
        <w:numPr>
          <w:ilvl w:val="0"/>
          <w:numId w:val="30"/>
        </w:numPr>
        <w:rPr>
          <w:lang w:val="it-IT"/>
        </w:rPr>
      </w:pPr>
      <w:r w:rsidRPr="00CF0676">
        <w:rPr>
          <w:lang w:val="en-CA"/>
        </w:rPr>
        <w:t xml:space="preserve">International Labour Organization. (2023). </w:t>
      </w:r>
      <w:r w:rsidRPr="00CF0676">
        <w:rPr>
          <w:i/>
          <w:iCs/>
          <w:lang w:val="en-CA"/>
        </w:rPr>
        <w:t>Eye health and the world of work</w:t>
      </w:r>
      <w:r w:rsidRPr="00CF0676">
        <w:rPr>
          <w:lang w:val="en-CA"/>
        </w:rPr>
        <w:t xml:space="preserve">. </w:t>
      </w:r>
      <w:r w:rsidRPr="00F15669">
        <w:rPr>
          <w:lang w:val="it-IT"/>
        </w:rPr>
        <w:t xml:space="preserve">Geneva: ILO. </w:t>
      </w:r>
      <w:hyperlink r:id="rId46" w:tgtFrame="_new" w:history="1">
        <w:r w:rsidRPr="00F15669">
          <w:rPr>
            <w:rStyle w:val="Hyperlink"/>
            <w:lang w:val="it-IT"/>
          </w:rPr>
          <w:t>https://www.ilo.org/sites/default/files/wcmsp5/groups/public/@ed_protect/@protrav/@safework/documents/publication/wcms_892937.pdf</w:t>
        </w:r>
      </w:hyperlink>
    </w:p>
    <w:p w14:paraId="7D878021" w14:textId="77777777" w:rsidR="00CF0676" w:rsidRPr="00CF0676" w:rsidRDefault="00CF0676" w:rsidP="00CF0676">
      <w:pPr>
        <w:pStyle w:val="ListParagraph"/>
        <w:numPr>
          <w:ilvl w:val="0"/>
          <w:numId w:val="30"/>
        </w:numPr>
        <w:rPr>
          <w:lang w:val="en-CA"/>
        </w:rPr>
      </w:pPr>
      <w:r w:rsidRPr="00CF0676">
        <w:rPr>
          <w:lang w:val="en-CA"/>
        </w:rPr>
        <w:t xml:space="preserve">Eurostat. (2024). </w:t>
      </w:r>
      <w:r w:rsidRPr="00CF0676">
        <w:rPr>
          <w:i/>
          <w:iCs/>
          <w:lang w:val="en-CA"/>
        </w:rPr>
        <w:t>Population structure and ageing – Proportion of population aged 65 and over</w:t>
      </w:r>
      <w:r w:rsidRPr="00CF0676">
        <w:rPr>
          <w:lang w:val="en-CA"/>
        </w:rPr>
        <w:t>. Luxembourg: Statistical Office of the European Union.</w:t>
      </w:r>
    </w:p>
    <w:p w14:paraId="524B696D" w14:textId="77777777" w:rsidR="00CF0676" w:rsidRPr="00CF0676" w:rsidRDefault="00CF0676" w:rsidP="00CF0676">
      <w:pPr>
        <w:pStyle w:val="ListParagraph"/>
        <w:numPr>
          <w:ilvl w:val="0"/>
          <w:numId w:val="30"/>
        </w:numPr>
        <w:rPr>
          <w:lang w:val="en-CA"/>
        </w:rPr>
      </w:pPr>
      <w:r w:rsidRPr="00CF0676">
        <w:rPr>
          <w:lang w:val="fr-CA"/>
        </w:rPr>
        <w:t xml:space="preserve">Mekjavic, P. J., et al. </w:t>
      </w:r>
      <w:r w:rsidRPr="00F37843">
        <w:rPr>
          <w:lang w:val="en-CA"/>
        </w:rPr>
        <w:t xml:space="preserve">(2019). Policy perspective. </w:t>
      </w:r>
      <w:r w:rsidRPr="00CF0676">
        <w:rPr>
          <w:i/>
          <w:iCs/>
          <w:lang w:val="en-CA"/>
        </w:rPr>
        <w:t>Ophthalmology Policy Journal</w:t>
      </w:r>
      <w:r w:rsidRPr="00CF0676">
        <w:rPr>
          <w:lang w:val="en-CA"/>
        </w:rPr>
        <w:t>, 19(1), 1–6.</w:t>
      </w:r>
    </w:p>
    <w:p w14:paraId="32184E25" w14:textId="77777777" w:rsidR="00CF0676" w:rsidRPr="00CF0676" w:rsidRDefault="00CF0676" w:rsidP="00CF0676">
      <w:pPr>
        <w:pStyle w:val="ListParagraph"/>
        <w:numPr>
          <w:ilvl w:val="0"/>
          <w:numId w:val="30"/>
        </w:numPr>
        <w:rPr>
          <w:lang w:val="en-CA"/>
        </w:rPr>
      </w:pPr>
      <w:r w:rsidRPr="00CF0676">
        <w:rPr>
          <w:lang w:val="en-CA"/>
        </w:rPr>
        <w:t xml:space="preserve">Chand, M. (2024). Ageing and shrinking populations in CEE countries: Implications for practitioners and policy makers. </w:t>
      </w:r>
      <w:r w:rsidRPr="00CF0676">
        <w:rPr>
          <w:i/>
          <w:iCs/>
          <w:lang w:val="en-CA"/>
        </w:rPr>
        <w:t>Journal of Policy Studies</w:t>
      </w:r>
      <w:r w:rsidRPr="00CF0676">
        <w:rPr>
          <w:lang w:val="en-CA"/>
        </w:rPr>
        <w:t xml:space="preserve">, 24(1). </w:t>
      </w:r>
      <w:hyperlink r:id="rId47" w:tgtFrame="_new" w:history="1">
        <w:r w:rsidRPr="00CF0676">
          <w:rPr>
            <w:rStyle w:val="Hyperlink"/>
            <w:lang w:val="en-CA"/>
          </w:rPr>
          <w:t>https://doi.org/10.46697/001c.92945</w:t>
        </w:r>
      </w:hyperlink>
    </w:p>
    <w:p w14:paraId="697AA938" w14:textId="77777777" w:rsidR="00CF0676" w:rsidRPr="00CF0676" w:rsidRDefault="00CF0676" w:rsidP="00CF0676">
      <w:pPr>
        <w:pStyle w:val="ListParagraph"/>
        <w:numPr>
          <w:ilvl w:val="0"/>
          <w:numId w:val="30"/>
        </w:numPr>
        <w:rPr>
          <w:lang w:val="en-CA"/>
        </w:rPr>
      </w:pPr>
      <w:r w:rsidRPr="00CF0676">
        <w:rPr>
          <w:lang w:val="en-CA"/>
        </w:rPr>
        <w:t xml:space="preserve">International Agency for the Prevention of Blindness (IAPB). (2022). </w:t>
      </w:r>
      <w:r w:rsidRPr="00CF0676">
        <w:rPr>
          <w:i/>
          <w:iCs/>
          <w:lang w:val="en-CA"/>
        </w:rPr>
        <w:t>Vision Atlas: Global statistics on retinal diseases and blindness</w:t>
      </w:r>
      <w:r w:rsidRPr="00CF0676">
        <w:rPr>
          <w:lang w:val="en-CA"/>
        </w:rPr>
        <w:t xml:space="preserve">. </w:t>
      </w:r>
      <w:hyperlink r:id="rId48" w:tgtFrame="_new" w:history="1">
        <w:r w:rsidRPr="00CF0676">
          <w:rPr>
            <w:rStyle w:val="Hyperlink"/>
            <w:lang w:val="en-CA"/>
          </w:rPr>
          <w:t>https://www.iapb.org/vision-atlas</w:t>
        </w:r>
      </w:hyperlink>
    </w:p>
    <w:p w14:paraId="21BAC9FF" w14:textId="77777777" w:rsidR="00CF0676" w:rsidRPr="00CF0676" w:rsidRDefault="00CF0676" w:rsidP="00CF0676">
      <w:pPr>
        <w:pStyle w:val="ListParagraph"/>
        <w:numPr>
          <w:ilvl w:val="0"/>
          <w:numId w:val="30"/>
        </w:numPr>
        <w:rPr>
          <w:lang w:val="en-CA"/>
        </w:rPr>
      </w:pPr>
      <w:r w:rsidRPr="00CF0676">
        <w:rPr>
          <w:lang w:val="en-CA"/>
        </w:rPr>
        <w:t xml:space="preserve">IQVIA, &amp; Roche. (2024, November). </w:t>
      </w:r>
      <w:r w:rsidRPr="00CF0676">
        <w:rPr>
          <w:i/>
          <w:iCs/>
          <w:lang w:val="en-CA"/>
        </w:rPr>
        <w:t>CEE ophthalmology ecosystem study: Cross-country summary and vision health assessment</w:t>
      </w:r>
      <w:r w:rsidRPr="00CF0676">
        <w:rPr>
          <w:lang w:val="en-CA"/>
        </w:rPr>
        <w:t>.</w:t>
      </w:r>
    </w:p>
    <w:p w14:paraId="15E410C2" w14:textId="77777777" w:rsidR="00CF0676" w:rsidRPr="00CF0676" w:rsidRDefault="00CF0676" w:rsidP="00CF0676">
      <w:pPr>
        <w:pStyle w:val="ListParagraph"/>
        <w:numPr>
          <w:ilvl w:val="0"/>
          <w:numId w:val="30"/>
        </w:numPr>
        <w:rPr>
          <w:lang w:val="en-CA"/>
        </w:rPr>
      </w:pPr>
      <w:r w:rsidRPr="00CF0676">
        <w:rPr>
          <w:lang w:val="fr-CA"/>
        </w:rPr>
        <w:t xml:space="preserve">De la Fuente-Núñez, V., et al. </w:t>
      </w:r>
      <w:r w:rsidRPr="00CF0676">
        <w:rPr>
          <w:lang w:val="en-CA"/>
        </w:rPr>
        <w:t xml:space="preserve">(2023). </w:t>
      </w:r>
      <w:r w:rsidRPr="00CF0676">
        <w:rPr>
          <w:i/>
          <w:iCs/>
          <w:lang w:val="en-CA"/>
        </w:rPr>
        <w:t>Connecting healthy ageing and vision</w:t>
      </w:r>
      <w:r w:rsidRPr="00CF0676">
        <w:rPr>
          <w:lang w:val="en-CA"/>
        </w:rPr>
        <w:t>. Melbourne: The Fred Hollows Foundation &amp; International Federation on Ageing.</w:t>
      </w:r>
    </w:p>
    <w:p w14:paraId="6963A323" w14:textId="77777777" w:rsidR="00CF0676" w:rsidRPr="00CF0676" w:rsidRDefault="00CF0676" w:rsidP="00CF0676">
      <w:pPr>
        <w:pStyle w:val="ListParagraph"/>
        <w:numPr>
          <w:ilvl w:val="0"/>
          <w:numId w:val="30"/>
        </w:numPr>
        <w:rPr>
          <w:lang w:val="en-CA"/>
        </w:rPr>
      </w:pPr>
      <w:r w:rsidRPr="00CF0676">
        <w:rPr>
          <w:lang w:val="en-CA"/>
        </w:rPr>
        <w:t xml:space="preserve">World Health Organization. (2021, April). </w:t>
      </w:r>
      <w:r w:rsidRPr="00CF0676">
        <w:rPr>
          <w:i/>
          <w:iCs/>
          <w:lang w:val="en-CA"/>
        </w:rPr>
        <w:t>Diabetic retinopathy screening: A short guide – Increase effectiveness, maximise benefits and minimise harm</w:t>
      </w:r>
      <w:r w:rsidRPr="00CF0676">
        <w:rPr>
          <w:lang w:val="en-CA"/>
        </w:rPr>
        <w:t>. Geneva: WHO.</w:t>
      </w:r>
    </w:p>
    <w:p w14:paraId="2E766C8D" w14:textId="77777777" w:rsidR="00CF0676" w:rsidRPr="00CF0676" w:rsidRDefault="00CF0676" w:rsidP="00CF0676">
      <w:pPr>
        <w:pStyle w:val="ListParagraph"/>
        <w:numPr>
          <w:ilvl w:val="0"/>
          <w:numId w:val="30"/>
        </w:numPr>
        <w:rPr>
          <w:lang w:val="en-CA"/>
        </w:rPr>
      </w:pPr>
      <w:r w:rsidRPr="00CF0676">
        <w:rPr>
          <w:lang w:val="en-CA"/>
        </w:rPr>
        <w:t xml:space="preserve">World Health Organization. (2020). </w:t>
      </w:r>
      <w:r w:rsidRPr="00CF0676">
        <w:rPr>
          <w:i/>
          <w:iCs/>
          <w:lang w:val="en-CA"/>
        </w:rPr>
        <w:t>Integrated people-centred eye care (WHA73 Resolution)</w:t>
      </w:r>
      <w:r w:rsidRPr="00CF0676">
        <w:rPr>
          <w:lang w:val="en-CA"/>
        </w:rPr>
        <w:t>. Geneva: WHO.</w:t>
      </w:r>
    </w:p>
    <w:p w14:paraId="102F3A36" w14:textId="77777777" w:rsidR="00CF0676" w:rsidRPr="00CF0676" w:rsidRDefault="00CF0676" w:rsidP="00CF0676">
      <w:pPr>
        <w:pStyle w:val="ListParagraph"/>
        <w:numPr>
          <w:ilvl w:val="0"/>
          <w:numId w:val="30"/>
        </w:numPr>
        <w:rPr>
          <w:lang w:val="en-CA"/>
        </w:rPr>
      </w:pPr>
      <w:r w:rsidRPr="00CF0676">
        <w:rPr>
          <w:lang w:val="fr-CA"/>
        </w:rPr>
        <w:t xml:space="preserve">Burton, M. J., Ramke, J., Marques, A. P., Bourne, R. R. A., Congdon, N., Jones, I., … </w:t>
      </w:r>
      <w:r w:rsidRPr="00CF0676">
        <w:rPr>
          <w:lang w:val="en-CA"/>
        </w:rPr>
        <w:t xml:space="preserve">&amp; Foster, A. (2021). The Lancet Global Health Commission on global eye health: Vision beyond 2020. </w:t>
      </w:r>
      <w:r w:rsidRPr="00CF0676">
        <w:rPr>
          <w:i/>
          <w:iCs/>
          <w:lang w:val="en-CA"/>
        </w:rPr>
        <w:t>The Lancet Global Health</w:t>
      </w:r>
      <w:r w:rsidRPr="00CF0676">
        <w:rPr>
          <w:lang w:val="en-CA"/>
        </w:rPr>
        <w:t xml:space="preserve">, 9(4), e489–e551. </w:t>
      </w:r>
      <w:hyperlink r:id="rId49" w:tgtFrame="_new" w:history="1">
        <w:r w:rsidRPr="00CF0676">
          <w:rPr>
            <w:rStyle w:val="Hyperlink"/>
            <w:lang w:val="en-CA"/>
          </w:rPr>
          <w:t>https://doi.org/10.1016/S2214-109X(20)30488-5</w:t>
        </w:r>
      </w:hyperlink>
    </w:p>
    <w:p w14:paraId="7ED8ED0D" w14:textId="77777777" w:rsidR="00CF0676" w:rsidRPr="00CF0676" w:rsidRDefault="00CF0676" w:rsidP="00CF0676">
      <w:pPr>
        <w:pStyle w:val="ListParagraph"/>
        <w:numPr>
          <w:ilvl w:val="0"/>
          <w:numId w:val="30"/>
        </w:numPr>
        <w:rPr>
          <w:lang w:val="en-CA"/>
        </w:rPr>
      </w:pPr>
      <w:r w:rsidRPr="00CF0676">
        <w:rPr>
          <w:lang w:val="fr-CA"/>
        </w:rPr>
        <w:t xml:space="preserve">Marques, A. P., et al. </w:t>
      </w:r>
      <w:r w:rsidRPr="00CF0676">
        <w:rPr>
          <w:lang w:val="en-CA"/>
        </w:rPr>
        <w:t xml:space="preserve">(2022). The economics of vision impairment and its leading causes. </w:t>
      </w:r>
      <w:r w:rsidRPr="00CF0676">
        <w:rPr>
          <w:i/>
          <w:iCs/>
          <w:lang w:val="en-CA"/>
        </w:rPr>
        <w:t>The Lancet</w:t>
      </w:r>
      <w:r w:rsidRPr="00CF0676">
        <w:rPr>
          <w:lang w:val="en-CA"/>
        </w:rPr>
        <w:t xml:space="preserve">, 399(10335), 190–200. </w:t>
      </w:r>
      <w:hyperlink r:id="rId50" w:tgtFrame="_new" w:history="1">
        <w:r w:rsidRPr="00CF0676">
          <w:rPr>
            <w:rStyle w:val="Hyperlink"/>
            <w:lang w:val="en-CA"/>
          </w:rPr>
          <w:t>https://doi.org/10.1016/S0140-6736(21)00579-2</w:t>
        </w:r>
      </w:hyperlink>
    </w:p>
    <w:p w14:paraId="630AF7D8" w14:textId="77777777" w:rsidR="00CF0676" w:rsidRPr="00CF0676" w:rsidRDefault="00CF0676" w:rsidP="00CF0676">
      <w:pPr>
        <w:pStyle w:val="ListParagraph"/>
        <w:numPr>
          <w:ilvl w:val="0"/>
          <w:numId w:val="30"/>
        </w:numPr>
        <w:rPr>
          <w:lang w:val="en-CA"/>
        </w:rPr>
      </w:pPr>
      <w:r w:rsidRPr="00CF0676">
        <w:rPr>
          <w:lang w:val="en-CA"/>
        </w:rPr>
        <w:t xml:space="preserve">United Nations. (2021). </w:t>
      </w:r>
      <w:r w:rsidRPr="00CF0676">
        <w:rPr>
          <w:i/>
          <w:iCs/>
          <w:lang w:val="en-CA"/>
        </w:rPr>
        <w:t>Vision for everyone</w:t>
      </w:r>
      <w:r w:rsidRPr="00CF0676">
        <w:rPr>
          <w:lang w:val="en-CA"/>
        </w:rPr>
        <w:t xml:space="preserve"> (UN General Assembly Resolution A/RES/75/310).</w:t>
      </w:r>
    </w:p>
    <w:p w14:paraId="36D2F781" w14:textId="77777777" w:rsidR="00CF0676" w:rsidRPr="00CF0676" w:rsidRDefault="00CF0676" w:rsidP="00CF0676">
      <w:pPr>
        <w:pStyle w:val="ListParagraph"/>
        <w:numPr>
          <w:ilvl w:val="0"/>
          <w:numId w:val="30"/>
        </w:numPr>
        <w:rPr>
          <w:lang w:val="en-CA"/>
        </w:rPr>
      </w:pPr>
      <w:r w:rsidRPr="00CF0676">
        <w:rPr>
          <w:lang w:val="en-CA"/>
        </w:rPr>
        <w:t xml:space="preserve">WifOR Institute, &amp; Roche. (2024, October). </w:t>
      </w:r>
      <w:r w:rsidRPr="00CF0676">
        <w:rPr>
          <w:i/>
          <w:iCs/>
          <w:lang w:val="en-CA"/>
        </w:rPr>
        <w:t>The value of investing in innovative medicines: Socioeconomic burden and annual social impact of Roche treatments for retinal disease</w:t>
      </w:r>
      <w:r w:rsidRPr="00CF0676">
        <w:rPr>
          <w:lang w:val="en-CA"/>
        </w:rPr>
        <w:t>.</w:t>
      </w:r>
    </w:p>
    <w:p w14:paraId="566DE821" w14:textId="77777777" w:rsidR="00CF0676" w:rsidRPr="00CF0676" w:rsidRDefault="00CF0676" w:rsidP="00CF0676">
      <w:pPr>
        <w:pStyle w:val="ListParagraph"/>
        <w:numPr>
          <w:ilvl w:val="0"/>
          <w:numId w:val="30"/>
        </w:numPr>
        <w:rPr>
          <w:lang w:val="en-CA"/>
        </w:rPr>
      </w:pPr>
      <w:r w:rsidRPr="00CF0676">
        <w:rPr>
          <w:lang w:val="en-CA"/>
        </w:rPr>
        <w:t xml:space="preserve">IQVIA, &amp; Roche. (2024). </w:t>
      </w:r>
      <w:r w:rsidRPr="00CF0676">
        <w:rPr>
          <w:i/>
          <w:iCs/>
          <w:lang w:val="en-CA"/>
        </w:rPr>
        <w:t>CEE ophthalmology ecosystem study: National case studies</w:t>
      </w:r>
      <w:r w:rsidRPr="00CF0676">
        <w:rPr>
          <w:lang w:val="en-CA"/>
        </w:rPr>
        <w:t>.</w:t>
      </w:r>
    </w:p>
    <w:p w14:paraId="516F12C7" w14:textId="77777777" w:rsidR="00CF0676" w:rsidRPr="00CF0676" w:rsidRDefault="00CF0676" w:rsidP="00CF0676">
      <w:pPr>
        <w:pStyle w:val="ListParagraph"/>
        <w:numPr>
          <w:ilvl w:val="0"/>
          <w:numId w:val="30"/>
        </w:numPr>
        <w:rPr>
          <w:lang w:val="en-CA"/>
        </w:rPr>
      </w:pPr>
      <w:r w:rsidRPr="00CF0676">
        <w:rPr>
          <w:lang w:val="en-CA"/>
        </w:rPr>
        <w:t xml:space="preserve">Zhang, J., Wang, M., Chen, L., &amp; Radke, N. (2024). Diabetic blindness remains a big challenge despite all recent advancements in diagnostics and treatments. </w:t>
      </w:r>
      <w:r w:rsidRPr="00CF0676">
        <w:rPr>
          <w:i/>
          <w:iCs/>
          <w:lang w:val="en-CA"/>
        </w:rPr>
        <w:t>Asia-Pacific Journal of Ophthalmology (Philadelphia, Pa.)</w:t>
      </w:r>
      <w:r w:rsidRPr="00CF0676">
        <w:rPr>
          <w:lang w:val="en-CA"/>
        </w:rPr>
        <w:t xml:space="preserve">, 13(5), 100105. </w:t>
      </w:r>
      <w:hyperlink r:id="rId51" w:tgtFrame="_new" w:history="1">
        <w:r w:rsidRPr="00CF0676">
          <w:rPr>
            <w:rStyle w:val="Hyperlink"/>
            <w:lang w:val="en-CA"/>
          </w:rPr>
          <w:t>https://doi.org/10.1097/APO.0000000000001051</w:t>
        </w:r>
      </w:hyperlink>
    </w:p>
    <w:p w14:paraId="2D303F80" w14:textId="77777777" w:rsidR="00CF0676" w:rsidRPr="00CF0676" w:rsidRDefault="00CF0676" w:rsidP="00CF0676">
      <w:pPr>
        <w:pStyle w:val="ListParagraph"/>
        <w:numPr>
          <w:ilvl w:val="0"/>
          <w:numId w:val="30"/>
        </w:numPr>
        <w:rPr>
          <w:lang w:val="en-CA"/>
        </w:rPr>
      </w:pPr>
      <w:r w:rsidRPr="00CF0676">
        <w:rPr>
          <w:lang w:val="en-CA"/>
        </w:rPr>
        <w:t xml:space="preserve">World Health Organization. (2022). </w:t>
      </w:r>
      <w:r w:rsidRPr="00CF0676">
        <w:rPr>
          <w:i/>
          <w:iCs/>
          <w:lang w:val="en-CA"/>
        </w:rPr>
        <w:t>Package of eye care interventions</w:t>
      </w:r>
      <w:r w:rsidRPr="00CF0676">
        <w:rPr>
          <w:lang w:val="en-CA"/>
        </w:rPr>
        <w:t>. Geneva: WHO.</w:t>
      </w:r>
    </w:p>
    <w:p w14:paraId="2F00D7DC" w14:textId="77777777" w:rsidR="00CF0676" w:rsidRPr="00CF0676" w:rsidRDefault="00CF0676" w:rsidP="00CF0676">
      <w:pPr>
        <w:pStyle w:val="ListParagraph"/>
        <w:numPr>
          <w:ilvl w:val="0"/>
          <w:numId w:val="30"/>
        </w:numPr>
        <w:rPr>
          <w:lang w:val="en-CA"/>
        </w:rPr>
      </w:pPr>
      <w:r w:rsidRPr="00CF0676">
        <w:rPr>
          <w:lang w:val="en-CA"/>
        </w:rPr>
        <w:t xml:space="preserve">North Macedonia Patient Association Groups. (2025). </w:t>
      </w:r>
      <w:r w:rsidRPr="00CF0676">
        <w:rPr>
          <w:i/>
          <w:iCs/>
          <w:lang w:val="en-CA"/>
        </w:rPr>
        <w:t>Changes in the care and protection of retinopathy – A call to action in Central and Eastern Europe: White paper 2025</w:t>
      </w:r>
      <w:r w:rsidRPr="00CF0676">
        <w:rPr>
          <w:lang w:val="en-CA"/>
        </w:rPr>
        <w:t>.</w:t>
      </w:r>
    </w:p>
    <w:p w14:paraId="4E65DBE7" w14:textId="77777777" w:rsidR="00CF0676" w:rsidRPr="00CF0676" w:rsidRDefault="00CF0676" w:rsidP="00CF0676">
      <w:pPr>
        <w:pStyle w:val="ListParagraph"/>
        <w:numPr>
          <w:ilvl w:val="0"/>
          <w:numId w:val="30"/>
        </w:numPr>
        <w:rPr>
          <w:lang w:val="en-CA"/>
        </w:rPr>
      </w:pPr>
      <w:r w:rsidRPr="00CF0676">
        <w:rPr>
          <w:lang w:val="en-CA"/>
        </w:rPr>
        <w:lastRenderedPageBreak/>
        <w:t xml:space="preserve">American Macular Degeneration Foundation. (2025). </w:t>
      </w:r>
      <w:r w:rsidRPr="00CF0676">
        <w:rPr>
          <w:i/>
          <w:iCs/>
          <w:lang w:val="en-CA"/>
        </w:rPr>
        <w:t>Wet macular degeneration</w:t>
      </w:r>
      <w:r w:rsidRPr="00CF0676">
        <w:rPr>
          <w:lang w:val="en-CA"/>
        </w:rPr>
        <w:t xml:space="preserve">. In </w:t>
      </w:r>
      <w:r w:rsidRPr="00CF0676">
        <w:rPr>
          <w:i/>
          <w:iCs/>
          <w:lang w:val="en-CA"/>
        </w:rPr>
        <w:t>About macular degeneration</w:t>
      </w:r>
      <w:r w:rsidRPr="00CF0676">
        <w:rPr>
          <w:lang w:val="en-CA"/>
        </w:rPr>
        <w:t xml:space="preserve">. </w:t>
      </w:r>
      <w:hyperlink r:id="rId52" w:tgtFrame="_new" w:history="1">
        <w:r w:rsidRPr="00CF0676">
          <w:rPr>
            <w:rStyle w:val="Hyperlink"/>
            <w:lang w:val="en-CA"/>
          </w:rPr>
          <w:t>https://www.macular.org/about-macular-degeneration/wet-macular-degeneration</w:t>
        </w:r>
      </w:hyperlink>
    </w:p>
    <w:p w14:paraId="34B2039C" w14:textId="77777777" w:rsidR="00CF0676" w:rsidRPr="00CF0676" w:rsidRDefault="00CF0676" w:rsidP="00CF0676">
      <w:pPr>
        <w:pStyle w:val="ListParagraph"/>
        <w:numPr>
          <w:ilvl w:val="0"/>
          <w:numId w:val="30"/>
        </w:numPr>
        <w:rPr>
          <w:lang w:val="en-CA"/>
        </w:rPr>
      </w:pPr>
      <w:r w:rsidRPr="00CF0676">
        <w:rPr>
          <w:lang w:val="en-CA"/>
        </w:rPr>
        <w:t xml:space="preserve">Bourne, R., Steinmetz, J. D., Flaxman, S., Briant, P. S., Taylor, H. R., Resnikoff, S., … &amp; Vision Loss Expert Group. (2018). Prevalence and causes of vision loss in high-income countries and in Eastern and Central Europe in 2015: Magnitude, temporal trends and projections. </w:t>
      </w:r>
      <w:r w:rsidRPr="00CF0676">
        <w:rPr>
          <w:i/>
          <w:iCs/>
          <w:lang w:val="en-CA"/>
        </w:rPr>
        <w:t>British Journal of Ophthalmology</w:t>
      </w:r>
      <w:r w:rsidRPr="00CF0676">
        <w:rPr>
          <w:lang w:val="en-CA"/>
        </w:rPr>
        <w:t xml:space="preserve">, 102(5), 575–585. </w:t>
      </w:r>
      <w:hyperlink r:id="rId53" w:tgtFrame="_new" w:history="1">
        <w:r w:rsidRPr="00CF0676">
          <w:rPr>
            <w:rStyle w:val="Hyperlink"/>
            <w:lang w:val="en-CA"/>
          </w:rPr>
          <w:t>https://doi.org/10.1136/bjophthalmol-2017-311258</w:t>
        </w:r>
      </w:hyperlink>
    </w:p>
    <w:p w14:paraId="2C415795" w14:textId="77777777" w:rsidR="00CF0676" w:rsidRPr="00CF0676" w:rsidRDefault="00CF0676" w:rsidP="00CF0676">
      <w:pPr>
        <w:pStyle w:val="ListParagraph"/>
        <w:numPr>
          <w:ilvl w:val="0"/>
          <w:numId w:val="30"/>
        </w:numPr>
        <w:rPr>
          <w:lang w:val="en-CA"/>
        </w:rPr>
      </w:pPr>
      <w:r w:rsidRPr="00CF0676">
        <w:rPr>
          <w:lang w:val="en-CA"/>
        </w:rPr>
        <w:t xml:space="preserve">Curcio, C. A., Johnson, M., Rudolf, M., &amp; Huang, J. D. (2024). Age-related macular degeneration, a mathematically tractable disease. </w:t>
      </w:r>
      <w:r w:rsidRPr="00CF0676">
        <w:rPr>
          <w:i/>
          <w:iCs/>
          <w:lang w:val="en-CA"/>
        </w:rPr>
        <w:t>Investigative Ophthalmology &amp; Visual Science</w:t>
      </w:r>
      <w:r w:rsidRPr="00CF0676">
        <w:rPr>
          <w:lang w:val="en-CA"/>
        </w:rPr>
        <w:t xml:space="preserve">, 65(4), 1–13. </w:t>
      </w:r>
      <w:hyperlink r:id="rId54" w:tgtFrame="_new" w:history="1">
        <w:r w:rsidRPr="00CF0676">
          <w:rPr>
            <w:rStyle w:val="Hyperlink"/>
            <w:lang w:val="en-CA"/>
          </w:rPr>
          <w:t>https://doi.org/10.1167/iovs.65.4.1</w:t>
        </w:r>
      </w:hyperlink>
    </w:p>
    <w:p w14:paraId="61C9B5C9" w14:textId="77777777" w:rsidR="00CF0676" w:rsidRPr="00CF0676" w:rsidRDefault="00CF0676" w:rsidP="00CF0676">
      <w:pPr>
        <w:pStyle w:val="ListParagraph"/>
        <w:numPr>
          <w:ilvl w:val="0"/>
          <w:numId w:val="30"/>
        </w:numPr>
        <w:rPr>
          <w:lang w:val="en-CA"/>
        </w:rPr>
      </w:pPr>
      <w:r w:rsidRPr="00CF0676">
        <w:rPr>
          <w:lang w:val="en-CA"/>
        </w:rPr>
        <w:t xml:space="preserve">Ersoy, L., Ristau, T., Kirchhof, B., Fauser, S., &amp; Heimes, B. (2014). Genetic and environmental risk factors for age-related macular degeneration in persons 90 years and older. </w:t>
      </w:r>
      <w:r w:rsidRPr="00CF0676">
        <w:rPr>
          <w:i/>
          <w:iCs/>
          <w:lang w:val="en-CA"/>
        </w:rPr>
        <w:t>Investigative Ophthalmology &amp; Visual Science</w:t>
      </w:r>
      <w:r w:rsidRPr="00CF0676">
        <w:rPr>
          <w:lang w:val="en-CA"/>
        </w:rPr>
        <w:t xml:space="preserve">, 55(3), 1842–1847. </w:t>
      </w:r>
      <w:hyperlink r:id="rId55" w:tgtFrame="_new" w:history="1">
        <w:r w:rsidRPr="00CF0676">
          <w:rPr>
            <w:rStyle w:val="Hyperlink"/>
            <w:lang w:val="en-CA"/>
          </w:rPr>
          <w:t>https://doi.org/10.1167/iovs.13-13458</w:t>
        </w:r>
      </w:hyperlink>
    </w:p>
    <w:p w14:paraId="124FC4E0" w14:textId="77777777" w:rsidR="00CF0676" w:rsidRPr="00CF0676" w:rsidRDefault="00CF0676" w:rsidP="00CF0676">
      <w:pPr>
        <w:pStyle w:val="ListParagraph"/>
        <w:numPr>
          <w:ilvl w:val="0"/>
          <w:numId w:val="30"/>
        </w:numPr>
        <w:rPr>
          <w:lang w:val="en-CA"/>
        </w:rPr>
      </w:pPr>
      <w:r w:rsidRPr="00CF0676">
        <w:rPr>
          <w:lang w:val="en-CA"/>
        </w:rPr>
        <w:t xml:space="preserve">Ferris, F. L., Wilkinson, C. P., Bird, A., Chakravarthy, U., Chew, E., Csaky, K., &amp; Sadda, S. R. (2013). Clinical classification of age-related macular degeneration. </w:t>
      </w:r>
      <w:r w:rsidRPr="00CF0676">
        <w:rPr>
          <w:i/>
          <w:iCs/>
          <w:lang w:val="en-CA"/>
        </w:rPr>
        <w:t>Ophthalmology</w:t>
      </w:r>
      <w:r w:rsidRPr="00CF0676">
        <w:rPr>
          <w:lang w:val="en-CA"/>
        </w:rPr>
        <w:t xml:space="preserve">, 120(4), 844–851. </w:t>
      </w:r>
      <w:hyperlink r:id="rId56" w:tgtFrame="_new" w:history="1">
        <w:r w:rsidRPr="00CF0676">
          <w:rPr>
            <w:rStyle w:val="Hyperlink"/>
            <w:lang w:val="en-CA"/>
          </w:rPr>
          <w:t>https://doi.org/10.1016/j.ophtha.2012.10.036</w:t>
        </w:r>
      </w:hyperlink>
    </w:p>
    <w:p w14:paraId="19408B96" w14:textId="77777777" w:rsidR="00CF0676" w:rsidRPr="00CF0676" w:rsidRDefault="00CF0676" w:rsidP="00CF0676">
      <w:pPr>
        <w:pStyle w:val="ListParagraph"/>
        <w:numPr>
          <w:ilvl w:val="0"/>
          <w:numId w:val="30"/>
        </w:numPr>
        <w:rPr>
          <w:lang w:val="en-CA"/>
        </w:rPr>
      </w:pPr>
      <w:r w:rsidRPr="00CF0676">
        <w:rPr>
          <w:lang w:val="en-CA"/>
        </w:rPr>
        <w:t xml:space="preserve">Retina International. (2024, April 10). </w:t>
      </w:r>
      <w:r w:rsidRPr="00CF0676">
        <w:rPr>
          <w:i/>
          <w:iCs/>
          <w:lang w:val="en-CA"/>
        </w:rPr>
        <w:t>European elections manifesto 2024: Act to make AMD—the leading cause for vision loss in Europe—a European public health priority</w:t>
      </w:r>
      <w:r w:rsidRPr="00CF0676">
        <w:rPr>
          <w:lang w:val="en-CA"/>
        </w:rPr>
        <w:t>. Dublin: Retina Action.</w:t>
      </w:r>
    </w:p>
    <w:p w14:paraId="5C37B489" w14:textId="77777777" w:rsidR="00CF0676" w:rsidRPr="00CF0676" w:rsidRDefault="00CF0676" w:rsidP="00CF0676">
      <w:pPr>
        <w:pStyle w:val="ListParagraph"/>
        <w:numPr>
          <w:ilvl w:val="0"/>
          <w:numId w:val="30"/>
        </w:numPr>
        <w:rPr>
          <w:lang w:val="en-CA"/>
        </w:rPr>
      </w:pPr>
      <w:r w:rsidRPr="00CF0676">
        <w:rPr>
          <w:lang w:val="en-CA"/>
        </w:rPr>
        <w:t xml:space="preserve">United Nations Friends of Vision. (2021). </w:t>
      </w:r>
      <w:r w:rsidRPr="00CF0676">
        <w:rPr>
          <w:i/>
          <w:iCs/>
          <w:lang w:val="en-CA"/>
        </w:rPr>
        <w:t>Resolution summary</w:t>
      </w:r>
      <w:r w:rsidRPr="00CF0676">
        <w:rPr>
          <w:lang w:val="en-CA"/>
        </w:rPr>
        <w:t xml:space="preserve">. International Agency for the Prevention of Blindness. </w:t>
      </w:r>
      <w:hyperlink r:id="rId57" w:tgtFrame="_new" w:history="1">
        <w:r w:rsidRPr="00CF0676">
          <w:rPr>
            <w:rStyle w:val="Hyperlink"/>
            <w:lang w:val="en-CA"/>
          </w:rPr>
          <w:t>https://www.iapb.org/wp-content/uploads/2021/07/UNFoV-Resolution-Summary-July2021.pdf</w:t>
        </w:r>
      </w:hyperlink>
    </w:p>
    <w:p w14:paraId="6015CAB4" w14:textId="77777777" w:rsidR="00CF0676" w:rsidRPr="00CF0676" w:rsidRDefault="00CF0676" w:rsidP="00CF0676">
      <w:pPr>
        <w:pStyle w:val="ListParagraph"/>
        <w:numPr>
          <w:ilvl w:val="0"/>
          <w:numId w:val="30"/>
        </w:numPr>
        <w:rPr>
          <w:lang w:val="en-CA"/>
        </w:rPr>
      </w:pPr>
      <w:r w:rsidRPr="00F15669">
        <w:rPr>
          <w:lang w:val="it-IT"/>
        </w:rPr>
        <w:t xml:space="preserve">Wong, W. L., Su, X., Li, X., Cheung, C. M. G., Klein, R., Cheng, C. Y., &amp; Wong, T. Y. (2014). </w:t>
      </w:r>
      <w:r w:rsidRPr="00CF0676">
        <w:rPr>
          <w:lang w:val="en-CA"/>
        </w:rPr>
        <w:t xml:space="preserve">Global prevalence of age-related macular degeneration and disease burden projection for 2020 and 2040: A systematic review and meta-analysis. </w:t>
      </w:r>
      <w:r w:rsidRPr="00CF0676">
        <w:rPr>
          <w:i/>
          <w:iCs/>
          <w:lang w:val="en-CA"/>
        </w:rPr>
        <w:t>The Lancet Global Health</w:t>
      </w:r>
      <w:r w:rsidRPr="00CF0676">
        <w:rPr>
          <w:lang w:val="en-CA"/>
        </w:rPr>
        <w:t xml:space="preserve">, 2(2), e106–e116. </w:t>
      </w:r>
      <w:hyperlink r:id="rId58" w:tgtFrame="_new" w:history="1">
        <w:r w:rsidRPr="00CF0676">
          <w:rPr>
            <w:rStyle w:val="Hyperlink"/>
            <w:lang w:val="en-CA"/>
          </w:rPr>
          <w:t>https://doi.org/10.1016/S2214-109X(13)70145-1</w:t>
        </w:r>
      </w:hyperlink>
    </w:p>
    <w:p w14:paraId="3F0E3A8D" w14:textId="77777777" w:rsidR="00CF0676" w:rsidRPr="00CF0676" w:rsidRDefault="00CF0676" w:rsidP="00CF0676">
      <w:pPr>
        <w:pStyle w:val="ListParagraph"/>
        <w:numPr>
          <w:ilvl w:val="0"/>
          <w:numId w:val="30"/>
        </w:numPr>
        <w:rPr>
          <w:lang w:val="en-CA"/>
        </w:rPr>
      </w:pPr>
      <w:r w:rsidRPr="00F15669">
        <w:rPr>
          <w:lang w:val="da-DK"/>
        </w:rPr>
        <w:t xml:space="preserve">Bakri, S. J., et al. </w:t>
      </w:r>
      <w:r w:rsidRPr="00CF0676">
        <w:rPr>
          <w:lang w:val="en-CA"/>
        </w:rPr>
        <w:t xml:space="preserve">(2023). Geographic atrophy: Mechanism of disease, pathophysiology, and role of the complement system. </w:t>
      </w:r>
      <w:r w:rsidRPr="00CF0676">
        <w:rPr>
          <w:i/>
          <w:iCs/>
          <w:lang w:val="en-CA"/>
        </w:rPr>
        <w:t>Journal of Managed Care &amp; Specialty Pharmacy</w:t>
      </w:r>
      <w:r w:rsidRPr="00CF0676">
        <w:rPr>
          <w:lang w:val="en-CA"/>
        </w:rPr>
        <w:t>, 29, S2–S11.</w:t>
      </w:r>
    </w:p>
    <w:p w14:paraId="1FE900ED" w14:textId="77777777" w:rsidR="00CF0676" w:rsidRPr="00CF0676" w:rsidRDefault="00CF0676" w:rsidP="00CF0676">
      <w:pPr>
        <w:pStyle w:val="ListParagraph"/>
        <w:numPr>
          <w:ilvl w:val="0"/>
          <w:numId w:val="30"/>
        </w:numPr>
        <w:rPr>
          <w:lang w:val="en-CA"/>
        </w:rPr>
      </w:pPr>
      <w:r w:rsidRPr="00CF0676">
        <w:rPr>
          <w:lang w:val="en-CA"/>
        </w:rPr>
        <w:t xml:space="preserve">Vujosevic, S., et al. (2023). Epidemiology of geographic atrophy and its precursor features of intermediate age-related macular degeneration. </w:t>
      </w:r>
      <w:r w:rsidRPr="00CF0676">
        <w:rPr>
          <w:i/>
          <w:iCs/>
          <w:lang w:val="en-CA"/>
        </w:rPr>
        <w:t>Acta Ophthalmologica</w:t>
      </w:r>
      <w:r w:rsidRPr="00CF0676">
        <w:rPr>
          <w:lang w:val="en-CA"/>
        </w:rPr>
        <w:t>, 101, 839–856.</w:t>
      </w:r>
    </w:p>
    <w:p w14:paraId="48D5456F" w14:textId="77777777" w:rsidR="00CF0676" w:rsidRPr="00CF0676" w:rsidRDefault="00CF0676" w:rsidP="00CF0676">
      <w:pPr>
        <w:pStyle w:val="ListParagraph"/>
        <w:numPr>
          <w:ilvl w:val="0"/>
          <w:numId w:val="30"/>
        </w:numPr>
        <w:rPr>
          <w:lang w:val="en-CA"/>
        </w:rPr>
      </w:pPr>
      <w:r w:rsidRPr="00CF0676">
        <w:rPr>
          <w:lang w:val="en-CA"/>
        </w:rPr>
        <w:t xml:space="preserve">International Agency for the Prevention of Blindness. (2021). </w:t>
      </w:r>
      <w:r w:rsidRPr="00CF0676">
        <w:rPr>
          <w:i/>
          <w:iCs/>
          <w:lang w:val="en-CA"/>
        </w:rPr>
        <w:t>DR Barometer report</w:t>
      </w:r>
      <w:r w:rsidRPr="00CF0676">
        <w:rPr>
          <w:lang w:val="en-CA"/>
        </w:rPr>
        <w:t>. London: IAPB.</w:t>
      </w:r>
    </w:p>
    <w:p w14:paraId="38D59C26" w14:textId="77777777" w:rsidR="00CF0676" w:rsidRPr="00CF0676" w:rsidRDefault="00CF0676" w:rsidP="00CF0676">
      <w:pPr>
        <w:pStyle w:val="ListParagraph"/>
        <w:numPr>
          <w:ilvl w:val="0"/>
          <w:numId w:val="30"/>
        </w:numPr>
        <w:rPr>
          <w:lang w:val="en-CA"/>
        </w:rPr>
      </w:pPr>
      <w:r w:rsidRPr="00CF0676">
        <w:rPr>
          <w:lang w:val="en-CA"/>
        </w:rPr>
        <w:t xml:space="preserve">Zhang, S., Ren, J., Chai, R., Zhao, Y., Wang, Y., Yu, X., … &amp; Li, X. (2024). Global burden of low vision and blindness due to age-related macular degeneration from 1990 to 2021 and projections for 2050. </w:t>
      </w:r>
      <w:r w:rsidRPr="00CF0676">
        <w:rPr>
          <w:i/>
          <w:iCs/>
          <w:lang w:val="en-CA"/>
        </w:rPr>
        <w:t>BMC Public Health</w:t>
      </w:r>
      <w:r w:rsidRPr="00CF0676">
        <w:rPr>
          <w:lang w:val="en-CA"/>
        </w:rPr>
        <w:t xml:space="preserve">, 24, 3510. </w:t>
      </w:r>
      <w:hyperlink r:id="rId59" w:tgtFrame="_new" w:history="1">
        <w:r w:rsidRPr="00CF0676">
          <w:rPr>
            <w:rStyle w:val="Hyperlink"/>
            <w:lang w:val="en-CA"/>
          </w:rPr>
          <w:t>https://doi.org/10.1186/s12889-024-21047-x</w:t>
        </w:r>
      </w:hyperlink>
    </w:p>
    <w:p w14:paraId="75D43C10" w14:textId="77777777" w:rsidR="00CF0676" w:rsidRPr="00CF0676" w:rsidRDefault="00CF0676" w:rsidP="00CF0676">
      <w:pPr>
        <w:pStyle w:val="ListParagraph"/>
        <w:numPr>
          <w:ilvl w:val="0"/>
          <w:numId w:val="30"/>
        </w:numPr>
        <w:rPr>
          <w:lang w:val="en-CA"/>
        </w:rPr>
      </w:pPr>
      <w:r w:rsidRPr="00CF0676">
        <w:rPr>
          <w:lang w:val="en-CA"/>
        </w:rPr>
        <w:t xml:space="preserve">Rao, P., et al. (2024). Patient perspectives on accessing eye-related healthcare. </w:t>
      </w:r>
      <w:r w:rsidRPr="00CF0676">
        <w:rPr>
          <w:i/>
          <w:iCs/>
          <w:lang w:val="en-CA"/>
        </w:rPr>
        <w:t>Eye</w:t>
      </w:r>
      <w:r w:rsidRPr="00CF0676">
        <w:rPr>
          <w:lang w:val="en-CA"/>
        </w:rPr>
        <w:t xml:space="preserve">, 37, 3351–3359. </w:t>
      </w:r>
      <w:hyperlink r:id="rId60" w:tgtFrame="_new" w:history="1">
        <w:r w:rsidRPr="00CF0676">
          <w:rPr>
            <w:rStyle w:val="Hyperlink"/>
            <w:lang w:val="en-CA"/>
          </w:rPr>
          <w:t>https://doi.org/10.1038/s41433-023-02825-8</w:t>
        </w:r>
      </w:hyperlink>
    </w:p>
    <w:p w14:paraId="6A111EFB" w14:textId="77777777" w:rsidR="00CF0676" w:rsidRPr="00CF0676" w:rsidRDefault="00CF0676" w:rsidP="00CF0676">
      <w:pPr>
        <w:pStyle w:val="ListParagraph"/>
        <w:numPr>
          <w:ilvl w:val="0"/>
          <w:numId w:val="30"/>
        </w:numPr>
        <w:rPr>
          <w:lang w:val="en-CA"/>
        </w:rPr>
      </w:pPr>
      <w:r w:rsidRPr="00CF0676">
        <w:rPr>
          <w:lang w:val="en-CA"/>
        </w:rPr>
        <w:t xml:space="preserve">European Patients’ Academy on Therapeutic Innovation (EUPATI). (2025, August). </w:t>
      </w:r>
      <w:r w:rsidRPr="00CF0676">
        <w:rPr>
          <w:i/>
          <w:iCs/>
          <w:lang w:val="en-CA"/>
        </w:rPr>
        <w:t>About EUPATI</w:t>
      </w:r>
      <w:r w:rsidRPr="00CF0676">
        <w:rPr>
          <w:lang w:val="en-CA"/>
        </w:rPr>
        <w:t xml:space="preserve">. </w:t>
      </w:r>
      <w:hyperlink r:id="rId61" w:tgtFrame="_new" w:history="1">
        <w:r w:rsidRPr="00CF0676">
          <w:rPr>
            <w:rStyle w:val="Hyperlink"/>
            <w:lang w:val="en-CA"/>
          </w:rPr>
          <w:t>https://eupati.eu/</w:t>
        </w:r>
      </w:hyperlink>
    </w:p>
    <w:p w14:paraId="2DDE760D" w14:textId="77777777" w:rsidR="00CF0676" w:rsidRPr="00CF0676" w:rsidRDefault="00CF0676" w:rsidP="00CF0676">
      <w:pPr>
        <w:pStyle w:val="ListParagraph"/>
        <w:numPr>
          <w:ilvl w:val="0"/>
          <w:numId w:val="30"/>
        </w:numPr>
        <w:rPr>
          <w:lang w:val="en-CA"/>
        </w:rPr>
      </w:pPr>
      <w:r w:rsidRPr="00CF0676">
        <w:rPr>
          <w:lang w:val="en-CA"/>
        </w:rPr>
        <w:t xml:space="preserve">International Council of Ophthalmology. (n.d.). </w:t>
      </w:r>
      <w:r w:rsidRPr="00CF0676">
        <w:rPr>
          <w:i/>
          <w:iCs/>
          <w:lang w:val="en-CA"/>
        </w:rPr>
        <w:t>Data on ophthalmologists worldwide</w:t>
      </w:r>
      <w:r w:rsidRPr="00CF0676">
        <w:rPr>
          <w:lang w:val="en-CA"/>
        </w:rPr>
        <w:t>. (Retrieved June 5, 2025).</w:t>
      </w:r>
    </w:p>
    <w:p w14:paraId="4A6395A8" w14:textId="77777777" w:rsidR="00CF0676" w:rsidRPr="00CF0676" w:rsidRDefault="00CF0676" w:rsidP="00CF0676">
      <w:pPr>
        <w:pStyle w:val="ListParagraph"/>
        <w:numPr>
          <w:ilvl w:val="0"/>
          <w:numId w:val="30"/>
        </w:numPr>
        <w:rPr>
          <w:lang w:val="en-CA"/>
        </w:rPr>
      </w:pPr>
      <w:r w:rsidRPr="00CF0676">
        <w:rPr>
          <w:lang w:val="en-CA"/>
        </w:rPr>
        <w:lastRenderedPageBreak/>
        <w:t xml:space="preserve">European Federation of Pharmaceutical Industries and Associations. (2025). </w:t>
      </w:r>
      <w:r w:rsidRPr="00CF0676">
        <w:rPr>
          <w:i/>
          <w:iCs/>
          <w:lang w:val="en-CA"/>
        </w:rPr>
        <w:t>Healthcare outcomes and expenditure in Central and Eastern Europe—A review</w:t>
      </w:r>
      <w:r w:rsidRPr="00CF0676">
        <w:rPr>
          <w:lang w:val="en-CA"/>
        </w:rPr>
        <w:t>. Brussels: EFPIA.</w:t>
      </w:r>
    </w:p>
    <w:p w14:paraId="69712C10" w14:textId="77777777" w:rsidR="00CF0676" w:rsidRPr="00CF0676" w:rsidRDefault="00CF0676" w:rsidP="00CF0676">
      <w:pPr>
        <w:pStyle w:val="ListParagraph"/>
        <w:numPr>
          <w:ilvl w:val="0"/>
          <w:numId w:val="30"/>
        </w:numPr>
        <w:rPr>
          <w:lang w:val="en-CA"/>
        </w:rPr>
      </w:pPr>
      <w:r w:rsidRPr="00CF0676">
        <w:rPr>
          <w:lang w:val="en-CA"/>
        </w:rPr>
        <w:t xml:space="preserve">Lowenstein, A., et al. (2023). [Exact article title needed]. </w:t>
      </w:r>
      <w:r w:rsidRPr="00CF0676">
        <w:rPr>
          <w:i/>
          <w:iCs/>
          <w:lang w:val="en-CA"/>
        </w:rPr>
        <w:t>Eye</w:t>
      </w:r>
      <w:r w:rsidRPr="00CF0676">
        <w:rPr>
          <w:lang w:val="en-CA"/>
        </w:rPr>
        <w:t>, 37, 3351–3359. [Update with full title/DOI].</w:t>
      </w:r>
    </w:p>
    <w:p w14:paraId="35B46071" w14:textId="77777777" w:rsidR="00CF0676" w:rsidRPr="00CF0676" w:rsidRDefault="00CF0676" w:rsidP="00CF0676">
      <w:pPr>
        <w:pStyle w:val="ListParagraph"/>
        <w:numPr>
          <w:ilvl w:val="0"/>
          <w:numId w:val="30"/>
        </w:numPr>
        <w:rPr>
          <w:lang w:val="en-CA"/>
        </w:rPr>
      </w:pPr>
      <w:r w:rsidRPr="00CF0676">
        <w:rPr>
          <w:lang w:val="en-CA"/>
        </w:rPr>
        <w:t xml:space="preserve">European Federation of Pharmaceutical Industries and Associations. (2025). </w:t>
      </w:r>
      <w:r w:rsidRPr="00CF0676">
        <w:rPr>
          <w:i/>
          <w:iCs/>
          <w:lang w:val="en-CA"/>
        </w:rPr>
        <w:t>The root causes of unavailability of innovative medicines and delays in access</w:t>
      </w:r>
      <w:r w:rsidRPr="00CF0676">
        <w:rPr>
          <w:lang w:val="en-CA"/>
        </w:rPr>
        <w:t>. Brussels: EFPIA.</w:t>
      </w:r>
    </w:p>
    <w:p w14:paraId="63E4A7D7" w14:textId="77777777" w:rsidR="00CF0676" w:rsidRPr="00CF0676" w:rsidRDefault="00CF0676" w:rsidP="00CF0676">
      <w:pPr>
        <w:pStyle w:val="ListParagraph"/>
        <w:numPr>
          <w:ilvl w:val="0"/>
          <w:numId w:val="30"/>
        </w:numPr>
        <w:rPr>
          <w:lang w:val="en-CA"/>
        </w:rPr>
      </w:pPr>
      <w:r w:rsidRPr="00F15669">
        <w:rPr>
          <w:lang w:val="da-DK"/>
        </w:rPr>
        <w:t xml:space="preserve">Ehlken, C., Helms, M., Böhringer, D., Agostini, H. T., &amp; Stahl, A. (2017). </w:t>
      </w:r>
      <w:r w:rsidRPr="00CF0676">
        <w:rPr>
          <w:lang w:val="en-CA"/>
        </w:rPr>
        <w:t xml:space="preserve">Association of treatment adherence with real-life VA outcomes in AMD, DME, and BRVO patients. </w:t>
      </w:r>
      <w:r w:rsidRPr="00CF0676">
        <w:rPr>
          <w:i/>
          <w:iCs/>
          <w:lang w:val="en-CA"/>
        </w:rPr>
        <w:t>Clinical Ophthalmology</w:t>
      </w:r>
      <w:r w:rsidRPr="00CF0676">
        <w:rPr>
          <w:lang w:val="en-CA"/>
        </w:rPr>
        <w:t xml:space="preserve">, 11, 13–20. </w:t>
      </w:r>
      <w:hyperlink r:id="rId62" w:tgtFrame="_new" w:history="1">
        <w:r w:rsidRPr="00CF0676">
          <w:rPr>
            <w:rStyle w:val="Hyperlink"/>
            <w:lang w:val="en-CA"/>
          </w:rPr>
          <w:t>https://doi.org/10.2147/OPTH.S119199</w:t>
        </w:r>
      </w:hyperlink>
    </w:p>
    <w:p w14:paraId="5607C64F" w14:textId="77777777" w:rsidR="00CF0676" w:rsidRPr="00CF0676" w:rsidRDefault="00CF0676" w:rsidP="00CF0676">
      <w:pPr>
        <w:pStyle w:val="ListParagraph"/>
        <w:numPr>
          <w:ilvl w:val="0"/>
          <w:numId w:val="30"/>
        </w:numPr>
        <w:rPr>
          <w:lang w:val="en-CA"/>
        </w:rPr>
      </w:pPr>
      <w:r w:rsidRPr="00CF0676">
        <w:rPr>
          <w:lang w:val="en-CA"/>
        </w:rPr>
        <w:t xml:space="preserve">Wykoff, C. C. (2019). Management of diabetes-related retinopathy. In </w:t>
      </w:r>
      <w:r w:rsidRPr="00CF0676">
        <w:rPr>
          <w:i/>
          <w:iCs/>
          <w:lang w:val="en-CA"/>
        </w:rPr>
        <w:t>Prevention and management of diabetes-related eye disease</w:t>
      </w:r>
      <w:r w:rsidRPr="00CF0676">
        <w:rPr>
          <w:lang w:val="en-CA"/>
        </w:rPr>
        <w:t xml:space="preserve"> (pp. 11–16). Arlington, VA: American Diabetes Association.</w:t>
      </w:r>
    </w:p>
    <w:p w14:paraId="034FB16D" w14:textId="77777777" w:rsidR="00CF0676" w:rsidRPr="00CF0676" w:rsidRDefault="00CF0676" w:rsidP="00CF0676">
      <w:pPr>
        <w:pStyle w:val="ListParagraph"/>
        <w:numPr>
          <w:ilvl w:val="0"/>
          <w:numId w:val="30"/>
        </w:numPr>
        <w:rPr>
          <w:lang w:val="en-CA"/>
        </w:rPr>
      </w:pPr>
      <w:r w:rsidRPr="00CF0676">
        <w:rPr>
          <w:lang w:val="en-CA"/>
        </w:rPr>
        <w:t xml:space="preserve">Chandra, S., McKibbin, M., Mahmood, S., Downey, L., Barnes, B., Sivaprasad, S., &amp; AMD Commissioning Guidance Development Group. (2022). The Royal College of Ophthalmologists commissioning guidelines on age macular degeneration: Executive summary. </w:t>
      </w:r>
      <w:r w:rsidRPr="00CF0676">
        <w:rPr>
          <w:i/>
          <w:iCs/>
          <w:lang w:val="en-CA"/>
        </w:rPr>
        <w:t>Eye</w:t>
      </w:r>
      <w:r w:rsidRPr="00CF0676">
        <w:rPr>
          <w:lang w:val="en-CA"/>
        </w:rPr>
        <w:t xml:space="preserve">, 36(11), 2078–2083. </w:t>
      </w:r>
      <w:hyperlink r:id="rId63" w:tgtFrame="_new" w:history="1">
        <w:r w:rsidRPr="00CF0676">
          <w:rPr>
            <w:rStyle w:val="Hyperlink"/>
            <w:lang w:val="en-CA"/>
          </w:rPr>
          <w:t>https://doi.org/10.1038/s41433-022-02246-8</w:t>
        </w:r>
      </w:hyperlink>
    </w:p>
    <w:p w14:paraId="23564537" w14:textId="77777777" w:rsidR="00CF0676" w:rsidRPr="00CF0676" w:rsidRDefault="00CF0676" w:rsidP="00CF0676">
      <w:pPr>
        <w:pStyle w:val="ListParagraph"/>
        <w:numPr>
          <w:ilvl w:val="0"/>
          <w:numId w:val="30"/>
        </w:numPr>
        <w:rPr>
          <w:lang w:val="en-CA"/>
        </w:rPr>
      </w:pPr>
      <w:r w:rsidRPr="00F15669">
        <w:rPr>
          <w:lang w:val="da-DK"/>
        </w:rPr>
        <w:t xml:space="preserve">Holekamp, N. M., Liu, Y., Yeh, W. S., et al. </w:t>
      </w:r>
      <w:r w:rsidRPr="00CF0676">
        <w:rPr>
          <w:lang w:val="en-CA"/>
        </w:rPr>
        <w:t xml:space="preserve">(2018). Clinical utility of OCT in the diagnosis and management of AMD. </w:t>
      </w:r>
      <w:r w:rsidRPr="00CF0676">
        <w:rPr>
          <w:i/>
          <w:iCs/>
          <w:lang w:val="en-CA"/>
        </w:rPr>
        <w:t>Ophthalmic Surgery, Lasers and Imaging Retina</w:t>
      </w:r>
      <w:r w:rsidRPr="00CF0676">
        <w:rPr>
          <w:lang w:val="en-CA"/>
        </w:rPr>
        <w:t xml:space="preserve">, 49(7), 479–485. </w:t>
      </w:r>
      <w:hyperlink r:id="rId64" w:tgtFrame="_new" w:history="1">
        <w:r w:rsidRPr="00CF0676">
          <w:rPr>
            <w:rStyle w:val="Hyperlink"/>
            <w:lang w:val="en-CA"/>
          </w:rPr>
          <w:t>https://doi.org/10.3928/23258160-20180731-06</w:t>
        </w:r>
      </w:hyperlink>
    </w:p>
    <w:p w14:paraId="3FAA25AD" w14:textId="77777777" w:rsidR="00CF0676" w:rsidRPr="00CF0676" w:rsidRDefault="00CF0676" w:rsidP="00CF0676">
      <w:pPr>
        <w:pStyle w:val="ListParagraph"/>
        <w:numPr>
          <w:ilvl w:val="0"/>
          <w:numId w:val="30"/>
        </w:numPr>
        <w:rPr>
          <w:lang w:val="en-CA"/>
        </w:rPr>
      </w:pPr>
      <w:r w:rsidRPr="00F15669">
        <w:rPr>
          <w:lang w:val="da-DK"/>
        </w:rPr>
        <w:t xml:space="preserve">Schmidt-Erfurth, U., et al. </w:t>
      </w:r>
      <w:r w:rsidRPr="00CF0676">
        <w:rPr>
          <w:lang w:val="en-CA"/>
        </w:rPr>
        <w:t xml:space="preserve">(2014). Guidelines for the management of neovascular age-related macular degeneration by the European Society of Retina Specialists (EURETINA). </w:t>
      </w:r>
      <w:r w:rsidRPr="00CF0676">
        <w:rPr>
          <w:i/>
          <w:iCs/>
          <w:lang w:val="en-CA"/>
        </w:rPr>
        <w:t>British Journal of Ophthalmology</w:t>
      </w:r>
      <w:r w:rsidRPr="00CF0676">
        <w:rPr>
          <w:lang w:val="en-CA"/>
        </w:rPr>
        <w:t xml:space="preserve">, 98(9), 1144–1167. </w:t>
      </w:r>
      <w:hyperlink r:id="rId65" w:tgtFrame="_new" w:history="1">
        <w:r w:rsidRPr="00CF0676">
          <w:rPr>
            <w:rStyle w:val="Hyperlink"/>
            <w:lang w:val="en-CA"/>
          </w:rPr>
          <w:t>https://doi.org/10.1136/bjophthalmol-2014-305702</w:t>
        </w:r>
      </w:hyperlink>
    </w:p>
    <w:p w14:paraId="7D742E64" w14:textId="77777777" w:rsidR="00CF0676" w:rsidRPr="00CF0676" w:rsidRDefault="00CF0676" w:rsidP="00CF0676">
      <w:pPr>
        <w:pStyle w:val="ListParagraph"/>
        <w:numPr>
          <w:ilvl w:val="0"/>
          <w:numId w:val="30"/>
        </w:numPr>
        <w:rPr>
          <w:lang w:val="en-CA"/>
        </w:rPr>
      </w:pPr>
      <w:r w:rsidRPr="00CF0676">
        <w:rPr>
          <w:lang w:val="en-CA"/>
        </w:rPr>
        <w:t xml:space="preserve">Eurostat. (2023). </w:t>
      </w:r>
      <w:r w:rsidRPr="00CF0676">
        <w:rPr>
          <w:i/>
          <w:iCs/>
          <w:lang w:val="en-CA"/>
        </w:rPr>
        <w:t>Healthcare resource statistics—Technical resources and medical technology</w:t>
      </w:r>
      <w:r w:rsidRPr="00CF0676">
        <w:rPr>
          <w:lang w:val="en-CA"/>
        </w:rPr>
        <w:t>. Luxembourg: European Union.</w:t>
      </w:r>
    </w:p>
    <w:p w14:paraId="6D24BCA5" w14:textId="77777777" w:rsidR="00CF0676" w:rsidRPr="00CF0676" w:rsidRDefault="00CF0676" w:rsidP="00CF0676">
      <w:pPr>
        <w:pStyle w:val="ListParagraph"/>
        <w:numPr>
          <w:ilvl w:val="0"/>
          <w:numId w:val="30"/>
        </w:numPr>
        <w:rPr>
          <w:lang w:val="fr-CA"/>
        </w:rPr>
      </w:pPr>
      <w:r w:rsidRPr="00CF0676">
        <w:rPr>
          <w:lang w:val="en-CA"/>
        </w:rPr>
        <w:t xml:space="preserve">Scanlon, P. H. (2017). The English National Screening Programme for Diabetic Retinopathy 2003–2016. </w:t>
      </w:r>
      <w:r w:rsidRPr="00CF0676">
        <w:rPr>
          <w:i/>
          <w:iCs/>
          <w:lang w:val="fr-CA"/>
        </w:rPr>
        <w:t>Acta Diabetologica</w:t>
      </w:r>
      <w:r w:rsidRPr="00CF0676">
        <w:rPr>
          <w:lang w:val="fr-CA"/>
        </w:rPr>
        <w:t xml:space="preserve">, 54(6), 515–525. </w:t>
      </w:r>
      <w:hyperlink r:id="rId66" w:tgtFrame="_new" w:history="1">
        <w:r w:rsidRPr="00CF0676">
          <w:rPr>
            <w:rStyle w:val="Hyperlink"/>
            <w:lang w:val="fr-CA"/>
          </w:rPr>
          <w:t>https://doi.org/10.1007/s00592-017-0974-1</w:t>
        </w:r>
      </w:hyperlink>
    </w:p>
    <w:p w14:paraId="3565EBC5" w14:textId="77777777" w:rsidR="00CF0676" w:rsidRPr="00CF0676" w:rsidRDefault="00CF0676" w:rsidP="00CF0676">
      <w:pPr>
        <w:pStyle w:val="ListParagraph"/>
        <w:numPr>
          <w:ilvl w:val="0"/>
          <w:numId w:val="30"/>
        </w:numPr>
        <w:rPr>
          <w:lang w:val="en-CA"/>
        </w:rPr>
      </w:pPr>
      <w:r w:rsidRPr="00CF0676">
        <w:rPr>
          <w:lang w:val="fr-CA"/>
        </w:rPr>
        <w:t xml:space="preserve">Rees, G., Tee, H. W., Marella, M., Fenwick, E. K., Dirani, M., &amp; Lamoureux, E. L. (2013). </w:t>
      </w:r>
      <w:r w:rsidRPr="00CF0676">
        <w:rPr>
          <w:lang w:val="en-CA"/>
        </w:rPr>
        <w:t xml:space="preserve">Vision-specific distress and depressive symptoms in people with vision impairment. </w:t>
      </w:r>
      <w:r w:rsidRPr="00CF0676">
        <w:rPr>
          <w:i/>
          <w:iCs/>
          <w:lang w:val="en-CA"/>
        </w:rPr>
        <w:t>Investigative Ophthalmology &amp; Visual Science</w:t>
      </w:r>
      <w:r w:rsidRPr="00CF0676">
        <w:rPr>
          <w:lang w:val="en-CA"/>
        </w:rPr>
        <w:t xml:space="preserve">, 54(1), 743–748. </w:t>
      </w:r>
      <w:hyperlink r:id="rId67" w:tgtFrame="_new" w:history="1">
        <w:r w:rsidRPr="00CF0676">
          <w:rPr>
            <w:rStyle w:val="Hyperlink"/>
            <w:lang w:val="en-CA"/>
          </w:rPr>
          <w:t>https://doi.org/10.1167/iovs.12-10557</w:t>
        </w:r>
      </w:hyperlink>
    </w:p>
    <w:p w14:paraId="2212B8B7" w14:textId="77777777" w:rsidR="00CF0676" w:rsidRPr="00CF0676" w:rsidRDefault="00CF0676" w:rsidP="00CF0676">
      <w:pPr>
        <w:pStyle w:val="ListParagraph"/>
        <w:numPr>
          <w:ilvl w:val="0"/>
          <w:numId w:val="30"/>
        </w:numPr>
        <w:rPr>
          <w:lang w:val="en-CA"/>
        </w:rPr>
      </w:pPr>
      <w:r w:rsidRPr="00CF0676">
        <w:rPr>
          <w:lang w:val="fr-CA"/>
        </w:rPr>
        <w:t xml:space="preserve">Lamoureux, E. L., Pallant, J. F., Pesudovs, K., Rees, G., Hassell, J. B., &amp; Keeffe, J. E. (2007). </w:t>
      </w:r>
      <w:r w:rsidRPr="00CF0676">
        <w:rPr>
          <w:lang w:val="en-CA"/>
        </w:rPr>
        <w:t xml:space="preserve">The Impact of Vision Impairment questionnaire: An assessment of its psychometric properties. </w:t>
      </w:r>
      <w:r w:rsidRPr="00CF0676">
        <w:rPr>
          <w:i/>
          <w:iCs/>
          <w:lang w:val="en-CA"/>
        </w:rPr>
        <w:t>Investigative Ophthalmology &amp; Visual Science</w:t>
      </w:r>
      <w:r w:rsidRPr="00CF0676">
        <w:rPr>
          <w:lang w:val="en-CA"/>
        </w:rPr>
        <w:t xml:space="preserve">, 48(1), 299–303. </w:t>
      </w:r>
      <w:hyperlink r:id="rId68" w:tgtFrame="_new" w:history="1">
        <w:r w:rsidRPr="00CF0676">
          <w:rPr>
            <w:rStyle w:val="Hyperlink"/>
            <w:lang w:val="en-CA"/>
          </w:rPr>
          <w:t>https://doi.org/10.1167/iovs.06-0220</w:t>
        </w:r>
      </w:hyperlink>
    </w:p>
    <w:p w14:paraId="4344F748" w14:textId="77777777" w:rsidR="00CF0676" w:rsidRPr="00CF0676" w:rsidRDefault="00CF0676" w:rsidP="00CF0676">
      <w:pPr>
        <w:pStyle w:val="ListParagraph"/>
        <w:numPr>
          <w:ilvl w:val="0"/>
          <w:numId w:val="30"/>
        </w:numPr>
        <w:rPr>
          <w:lang w:val="en-CA"/>
        </w:rPr>
      </w:pPr>
      <w:r w:rsidRPr="00F15669">
        <w:rPr>
          <w:lang w:val="da-DK"/>
        </w:rPr>
        <w:t xml:space="preserve">Li, J. O., Liu, H., Ting, D. S. W., et al. </w:t>
      </w:r>
      <w:r w:rsidRPr="00CF0676">
        <w:rPr>
          <w:lang w:val="en-CA"/>
        </w:rPr>
        <w:t xml:space="preserve">(2021). Digital technology, telemedicine and artificial intelligence in ophthalmology: A global perspective. </w:t>
      </w:r>
      <w:r w:rsidRPr="00CF0676">
        <w:rPr>
          <w:i/>
          <w:iCs/>
          <w:lang w:val="en-CA"/>
        </w:rPr>
        <w:t>Progress in Retinal and Eye Research</w:t>
      </w:r>
      <w:r w:rsidRPr="00CF0676">
        <w:rPr>
          <w:lang w:val="en-CA"/>
        </w:rPr>
        <w:t xml:space="preserve">, 82, 100900. </w:t>
      </w:r>
      <w:hyperlink r:id="rId69" w:tgtFrame="_new" w:history="1">
        <w:r w:rsidRPr="00CF0676">
          <w:rPr>
            <w:rStyle w:val="Hyperlink"/>
            <w:lang w:val="en-CA"/>
          </w:rPr>
          <w:t>https://doi.org/10.1016/j.preteyeres.2020.100900</w:t>
        </w:r>
      </w:hyperlink>
    </w:p>
    <w:p w14:paraId="47CF64D7" w14:textId="77777777" w:rsidR="00CF0676" w:rsidRPr="00CF0676" w:rsidRDefault="00CF0676" w:rsidP="00CF0676">
      <w:pPr>
        <w:pStyle w:val="ListParagraph"/>
        <w:numPr>
          <w:ilvl w:val="0"/>
          <w:numId w:val="30"/>
        </w:numPr>
        <w:rPr>
          <w:lang w:val="en-CA"/>
        </w:rPr>
      </w:pPr>
      <w:r w:rsidRPr="00CF0676">
        <w:rPr>
          <w:lang w:val="en-CA"/>
        </w:rPr>
        <w:t>Nolte, E., &amp; Pitchforth, E. (2014). What is the evidence on the economic impacts of integrated care? Copenhagen: WHO Regional Office for Europe.</w:t>
      </w:r>
    </w:p>
    <w:p w14:paraId="7A5C6438" w14:textId="77777777" w:rsidR="00CF0676" w:rsidRPr="00CF0676" w:rsidRDefault="00CF0676" w:rsidP="00CF0676">
      <w:pPr>
        <w:pStyle w:val="ListParagraph"/>
        <w:numPr>
          <w:ilvl w:val="0"/>
          <w:numId w:val="30"/>
        </w:numPr>
        <w:rPr>
          <w:lang w:val="en-CA"/>
        </w:rPr>
      </w:pPr>
      <w:r w:rsidRPr="00CF0676">
        <w:rPr>
          <w:lang w:val="en-CA"/>
        </w:rPr>
        <w:t xml:space="preserve">Gemeinsamer Bundesausschuss. (n.d.). </w:t>
      </w:r>
      <w:r w:rsidRPr="00CF0676">
        <w:rPr>
          <w:i/>
          <w:iCs/>
          <w:lang w:val="en-CA"/>
        </w:rPr>
        <w:t>In brief: Disease management program for type 1 diabetes in Germany</w:t>
      </w:r>
      <w:r w:rsidRPr="00CF0676">
        <w:rPr>
          <w:lang w:val="en-CA"/>
        </w:rPr>
        <w:t xml:space="preserve">. In </w:t>
      </w:r>
      <w:r w:rsidRPr="00CF0676">
        <w:rPr>
          <w:i/>
          <w:iCs/>
          <w:lang w:val="en-CA"/>
        </w:rPr>
        <w:t>NCBI Bookshelf</w:t>
      </w:r>
      <w:r w:rsidRPr="00CF0676">
        <w:rPr>
          <w:lang w:val="en-CA"/>
        </w:rPr>
        <w:t xml:space="preserve">. Retrieved June 2025, from </w:t>
      </w:r>
      <w:hyperlink r:id="rId70" w:tgtFrame="_new" w:history="1">
        <w:r w:rsidRPr="00CF0676">
          <w:rPr>
            <w:rStyle w:val="Hyperlink"/>
            <w:lang w:val="en-CA"/>
          </w:rPr>
          <w:t>https://www.ncbi.nlm.nih.gov/books/NBK458293/</w:t>
        </w:r>
      </w:hyperlink>
    </w:p>
    <w:p w14:paraId="457DA98F" w14:textId="77777777" w:rsidR="00CF0676" w:rsidRPr="00CF0676" w:rsidRDefault="00CF0676" w:rsidP="00CF0676">
      <w:pPr>
        <w:pStyle w:val="ListParagraph"/>
        <w:numPr>
          <w:ilvl w:val="0"/>
          <w:numId w:val="30"/>
        </w:numPr>
        <w:rPr>
          <w:lang w:val="en-CA"/>
        </w:rPr>
      </w:pPr>
      <w:r w:rsidRPr="00F15669">
        <w:rPr>
          <w:lang w:val="da-DK"/>
        </w:rPr>
        <w:lastRenderedPageBreak/>
        <w:t xml:space="preserve">Stolwijk, M. L., Meyer, I., van der Pas, S. L., Twisk, J. W. R., van Nispen, R. M. A., &amp; van Rens, G. H. M. B. (2024). </w:t>
      </w:r>
      <w:r w:rsidRPr="00CF0676">
        <w:rPr>
          <w:lang w:val="en-CA"/>
        </w:rPr>
        <w:t xml:space="preserve">Low-vision aids provision in an urban setting in Germany between 2014 and 2017: A regional population-based study with healthcare claims data. </w:t>
      </w:r>
      <w:r w:rsidRPr="00CF0676">
        <w:rPr>
          <w:i/>
          <w:iCs/>
          <w:lang w:val="en-CA"/>
        </w:rPr>
        <w:t>Graefe’s Archive for Clinical and Experimental Ophthalmology</w:t>
      </w:r>
      <w:r w:rsidRPr="00CF0676">
        <w:rPr>
          <w:lang w:val="en-CA"/>
        </w:rPr>
        <w:t xml:space="preserve">, 262(11), 3711–3723. </w:t>
      </w:r>
      <w:hyperlink r:id="rId71" w:tgtFrame="_new" w:history="1">
        <w:r w:rsidRPr="00CF0676">
          <w:rPr>
            <w:rStyle w:val="Hyperlink"/>
            <w:lang w:val="en-CA"/>
          </w:rPr>
          <w:t>https://doi.org/10.1007/s00417-024-06397-3</w:t>
        </w:r>
      </w:hyperlink>
    </w:p>
    <w:p w14:paraId="00DEBE7A" w14:textId="77777777" w:rsidR="00CF0676" w:rsidRPr="00CF0676" w:rsidRDefault="00CF0676" w:rsidP="00CF0676">
      <w:pPr>
        <w:pStyle w:val="ListParagraph"/>
        <w:numPr>
          <w:ilvl w:val="0"/>
          <w:numId w:val="30"/>
        </w:numPr>
        <w:rPr>
          <w:lang w:val="en-CA"/>
        </w:rPr>
      </w:pPr>
      <w:r w:rsidRPr="00CF0676">
        <w:rPr>
          <w:lang w:val="en-CA"/>
        </w:rPr>
        <w:t xml:space="preserve">Ministry of Social Affairs and Health. (n.d.). </w:t>
      </w:r>
      <w:r w:rsidRPr="00CF0676">
        <w:rPr>
          <w:i/>
          <w:iCs/>
          <w:lang w:val="en-CA"/>
        </w:rPr>
        <w:t>Rehabilitation</w:t>
      </w:r>
      <w:r w:rsidRPr="00CF0676">
        <w:rPr>
          <w:lang w:val="en-CA"/>
        </w:rPr>
        <w:t xml:space="preserve">. Retrieved August 25, 2025, from </w:t>
      </w:r>
      <w:hyperlink r:id="rId72" w:tgtFrame="_new" w:history="1">
        <w:r w:rsidRPr="00CF0676">
          <w:rPr>
            <w:rStyle w:val="Hyperlink"/>
            <w:lang w:val="en-CA"/>
          </w:rPr>
          <w:t>https://stm.fi/en/rehabilitation</w:t>
        </w:r>
      </w:hyperlink>
    </w:p>
    <w:p w14:paraId="7C3DF488" w14:textId="77777777" w:rsidR="00CF0676" w:rsidRPr="00CF0676" w:rsidRDefault="00CF0676" w:rsidP="00CF0676">
      <w:pPr>
        <w:pStyle w:val="ListParagraph"/>
        <w:numPr>
          <w:ilvl w:val="0"/>
          <w:numId w:val="30"/>
        </w:numPr>
        <w:rPr>
          <w:lang w:val="en-CA"/>
        </w:rPr>
      </w:pPr>
      <w:r w:rsidRPr="00CF0676">
        <w:rPr>
          <w:lang w:val="en-CA"/>
        </w:rPr>
        <w:t xml:space="preserve">Zonneveld, N., Vat, L. E., Vlek, H., Minkman, M. M. N., &amp; Grol, R. P. T. M. (2017). The development of integrated diabetes care in the Netherlands: A multiperspective self-assessment analysis. </w:t>
      </w:r>
      <w:r w:rsidRPr="00CF0676">
        <w:rPr>
          <w:i/>
          <w:iCs/>
          <w:lang w:val="en-CA"/>
        </w:rPr>
        <w:t>BMC Health Services Research</w:t>
      </w:r>
      <w:r w:rsidRPr="00CF0676">
        <w:rPr>
          <w:lang w:val="en-CA"/>
        </w:rPr>
        <w:t xml:space="preserve">, 17, 219. </w:t>
      </w:r>
      <w:hyperlink r:id="rId73" w:tgtFrame="_new" w:history="1">
        <w:r w:rsidRPr="00CF0676">
          <w:rPr>
            <w:rStyle w:val="Hyperlink"/>
            <w:lang w:val="en-CA"/>
          </w:rPr>
          <w:t>https://doi.org/10.1186/s12913-017-2143-6</w:t>
        </w:r>
      </w:hyperlink>
    </w:p>
    <w:p w14:paraId="6FDAF7AC" w14:textId="77777777" w:rsidR="00CF0676" w:rsidRPr="00CF0676" w:rsidRDefault="00CF0676" w:rsidP="00CF0676">
      <w:pPr>
        <w:pStyle w:val="ListParagraph"/>
        <w:numPr>
          <w:ilvl w:val="0"/>
          <w:numId w:val="30"/>
        </w:numPr>
        <w:rPr>
          <w:lang w:val="en-CA"/>
        </w:rPr>
      </w:pPr>
      <w:r w:rsidRPr="00CF0676">
        <w:rPr>
          <w:lang w:val="en-CA"/>
        </w:rPr>
        <w:t xml:space="preserve">Rasmussen, M. L. R., Cehofski, L. J., Davies, J., Faber, C., Falk, M. K., Grauslund, J., Hansen, M. S., Keane, P. A., Natarajan, S., Peto, T., Subhi, Y., Wykoff, C. C., &amp; Muttuvelu, D. V. (2024). The impact of the COVID-19 pandemic on tele-ophthalmology-based retinal screening. </w:t>
      </w:r>
      <w:r w:rsidRPr="00CF0676">
        <w:rPr>
          <w:i/>
          <w:iCs/>
          <w:lang w:val="en-CA"/>
        </w:rPr>
        <w:t>Ophthalmology and Therapy</w:t>
      </w:r>
      <w:r w:rsidRPr="00CF0676">
        <w:rPr>
          <w:lang w:val="en-CA"/>
        </w:rPr>
        <w:t xml:space="preserve">, 13(9), 2467–2480. </w:t>
      </w:r>
      <w:hyperlink r:id="rId74" w:tgtFrame="_new" w:history="1">
        <w:r w:rsidRPr="00CF0676">
          <w:rPr>
            <w:rStyle w:val="Hyperlink"/>
            <w:lang w:val="en-CA"/>
          </w:rPr>
          <w:t>https://doi.org/10.1007/s40123-024-01011-0</w:t>
        </w:r>
      </w:hyperlink>
    </w:p>
    <w:p w14:paraId="3E5C6703" w14:textId="77777777" w:rsidR="00CF0676" w:rsidRPr="00CF0676" w:rsidRDefault="00CF0676" w:rsidP="00CF0676">
      <w:pPr>
        <w:pStyle w:val="ListParagraph"/>
        <w:numPr>
          <w:ilvl w:val="0"/>
          <w:numId w:val="30"/>
        </w:numPr>
        <w:rPr>
          <w:lang w:val="en-CA"/>
        </w:rPr>
      </w:pPr>
      <w:r w:rsidRPr="00CF0676">
        <w:rPr>
          <w:lang w:val="en-CA"/>
        </w:rPr>
        <w:t xml:space="preserve">Halajyan, C. P., Thomas, J., Xu, B., Gluckstein, J., &amp; Jiang, X. (2024). Telemedicine in eye care during the COVID-19 pandemic: A review of patient &amp; physician perspectives. </w:t>
      </w:r>
      <w:r w:rsidRPr="00CF0676">
        <w:rPr>
          <w:i/>
          <w:iCs/>
          <w:lang w:val="en-CA"/>
        </w:rPr>
        <w:t>medRxiv</w:t>
      </w:r>
      <w:r w:rsidRPr="00CF0676">
        <w:rPr>
          <w:lang w:val="en-CA"/>
        </w:rPr>
        <w:t xml:space="preserve">. </w:t>
      </w:r>
      <w:hyperlink r:id="rId75" w:tgtFrame="_new" w:history="1">
        <w:r w:rsidRPr="00CF0676">
          <w:rPr>
            <w:rStyle w:val="Hyperlink"/>
            <w:lang w:val="en-CA"/>
          </w:rPr>
          <w:t>https://doi.org/10.1101/2024.10.25.24316160</w:t>
        </w:r>
      </w:hyperlink>
    </w:p>
    <w:p w14:paraId="79E8BCB9" w14:textId="77777777" w:rsidR="00CF0676" w:rsidRPr="00CF0676" w:rsidRDefault="00CF0676" w:rsidP="00CF0676">
      <w:pPr>
        <w:pStyle w:val="ListParagraph"/>
        <w:numPr>
          <w:ilvl w:val="0"/>
          <w:numId w:val="30"/>
        </w:numPr>
        <w:rPr>
          <w:lang w:val="en-CA"/>
        </w:rPr>
      </w:pPr>
      <w:r w:rsidRPr="00CF0676">
        <w:rPr>
          <w:lang w:val="en-CA"/>
        </w:rPr>
        <w:t xml:space="preserve">European Vision Institute Clinical Research Network. (n.d.). </w:t>
      </w:r>
      <w:r w:rsidRPr="00CF0676">
        <w:rPr>
          <w:i/>
          <w:iCs/>
          <w:lang w:val="en-CA"/>
        </w:rPr>
        <w:t>Organisation</w:t>
      </w:r>
      <w:r w:rsidRPr="00CF0676">
        <w:rPr>
          <w:lang w:val="en-CA"/>
        </w:rPr>
        <w:t xml:space="preserve">. EVICR.net. Retrieved August 25, 2025, from </w:t>
      </w:r>
      <w:hyperlink r:id="rId76" w:tgtFrame="_new" w:history="1">
        <w:r w:rsidRPr="00CF0676">
          <w:rPr>
            <w:rStyle w:val="Hyperlink"/>
            <w:lang w:val="en-CA"/>
          </w:rPr>
          <w:t>https://www.evicr.net/about/organisation/</w:t>
        </w:r>
      </w:hyperlink>
    </w:p>
    <w:p w14:paraId="709CEEDA" w14:textId="77777777" w:rsidR="00CF0676" w:rsidRPr="00CF0676" w:rsidRDefault="00CF0676" w:rsidP="00CF0676">
      <w:pPr>
        <w:pStyle w:val="ListParagraph"/>
        <w:numPr>
          <w:ilvl w:val="0"/>
          <w:numId w:val="30"/>
        </w:numPr>
        <w:rPr>
          <w:lang w:val="en-CA"/>
        </w:rPr>
      </w:pPr>
      <w:r w:rsidRPr="00CF0676">
        <w:rPr>
          <w:lang w:val="en-CA"/>
        </w:rPr>
        <w:t xml:space="preserve">European Retinal Disease Consortium. (n.d.). </w:t>
      </w:r>
      <w:r w:rsidRPr="00CF0676">
        <w:rPr>
          <w:i/>
          <w:iCs/>
          <w:lang w:val="en-CA"/>
        </w:rPr>
        <w:t>Home</w:t>
      </w:r>
      <w:r w:rsidRPr="00CF0676">
        <w:rPr>
          <w:lang w:val="en-CA"/>
        </w:rPr>
        <w:t xml:space="preserve">. ERDC.info. Retrieved August 25, 2025, from </w:t>
      </w:r>
      <w:hyperlink r:id="rId77" w:tgtFrame="_new" w:history="1">
        <w:r w:rsidRPr="00CF0676">
          <w:rPr>
            <w:rStyle w:val="Hyperlink"/>
            <w:lang w:val="en-CA"/>
          </w:rPr>
          <w:t>https://www.erdc.info/</w:t>
        </w:r>
      </w:hyperlink>
    </w:p>
    <w:p w14:paraId="4F8425E5" w14:textId="77777777" w:rsidR="00CF0676" w:rsidRPr="00E37E16" w:rsidRDefault="00CF0676" w:rsidP="00CF0676">
      <w:pPr>
        <w:pStyle w:val="ListParagraph"/>
        <w:numPr>
          <w:ilvl w:val="0"/>
          <w:numId w:val="30"/>
        </w:numPr>
        <w:rPr>
          <w:lang w:val="en-CA"/>
        </w:rPr>
      </w:pPr>
      <w:r w:rsidRPr="00CF0676">
        <w:rPr>
          <w:lang w:val="en-CA"/>
        </w:rPr>
        <w:t xml:space="preserve">American Society of Retina Specialists. (n.d.). </w:t>
      </w:r>
      <w:r w:rsidRPr="00CF0676">
        <w:rPr>
          <w:i/>
          <w:iCs/>
          <w:lang w:val="en-CA"/>
        </w:rPr>
        <w:t>Home</w:t>
      </w:r>
      <w:r w:rsidRPr="00CF0676">
        <w:rPr>
          <w:lang w:val="en-CA"/>
        </w:rPr>
        <w:t xml:space="preserve">. ASRS. Retrieved August 25, 2025, from </w:t>
      </w:r>
      <w:hyperlink r:id="rId78" w:tgtFrame="_new" w:history="1">
        <w:r w:rsidRPr="00CF0676">
          <w:rPr>
            <w:rStyle w:val="Hyperlink"/>
            <w:lang w:val="en-CA"/>
          </w:rPr>
          <w:t>https://www.asrs.org/</w:t>
        </w:r>
      </w:hyperlink>
    </w:p>
    <w:p w14:paraId="1BAE900B" w14:textId="77777777" w:rsidR="00000833" w:rsidRPr="00E37E16" w:rsidRDefault="00000833" w:rsidP="00CF0676">
      <w:pPr>
        <w:rPr>
          <w:lang w:val="en-CA"/>
        </w:rPr>
      </w:pPr>
    </w:p>
    <w:p w14:paraId="000001E4" w14:textId="1D5508B6" w:rsidR="00625C02" w:rsidRDefault="00625C02" w:rsidP="00AD0430">
      <w:pPr>
        <w:spacing w:after="160" w:line="259" w:lineRule="auto"/>
        <w:rPr>
          <w:b/>
          <w:color w:val="000000"/>
        </w:rPr>
      </w:pPr>
    </w:p>
    <w:sectPr w:rsidR="00625C0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43985" w14:textId="77777777" w:rsidR="001F4F7F" w:rsidRDefault="001F4F7F">
      <w:pPr>
        <w:spacing w:after="0" w:line="240" w:lineRule="auto"/>
      </w:pPr>
      <w:r>
        <w:separator/>
      </w:r>
    </w:p>
  </w:endnote>
  <w:endnote w:type="continuationSeparator" w:id="0">
    <w:p w14:paraId="0756E425" w14:textId="77777777" w:rsidR="001F4F7F" w:rsidRDefault="001F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Segoe UI 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E5A1FD-D932-4DFA-98E9-C511BB3F4DEE}"/>
    <w:embedBold r:id="rId2" w:fontKey="{A2E3D331-6956-4F74-9275-F6CB859360F3}"/>
    <w:embedItalic r:id="rId3" w:fontKey="{B45298FE-B5D5-4D13-B159-2D228D51F129}"/>
  </w:font>
  <w:font w:name="Play">
    <w:charset w:val="00"/>
    <w:family w:val="auto"/>
    <w:pitch w:val="default"/>
    <w:embedRegular r:id="rId4" w:fontKey="{5C3665FA-EEE6-42CD-AA75-9D700F9A0F23}"/>
    <w:embedBold r:id="rId5" w:fontKey="{948A7EE9-AA6B-4E57-AA1E-96F885F25C08}"/>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embedRegular r:id="rId6" w:fontKey="{171F0CEF-84B3-48FB-85F6-E64D73B76E47}"/>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DAFF7AE2-714B-43E8-B95C-E1AA74C0E2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B" w14:textId="77777777" w:rsidR="00625C02" w:rsidRDefault="00625C02">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C" w14:textId="5E82BB1E" w:rsidR="00625C02" w:rsidRDefault="00A22398">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A52FE">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A52FE">
      <w:rPr>
        <w:b/>
        <w:noProof/>
        <w:color w:val="000000"/>
        <w:sz w:val="24"/>
        <w:szCs w:val="24"/>
      </w:rPr>
      <w:t>35</w:t>
    </w:r>
    <w:r>
      <w:rPr>
        <w:b/>
        <w:color w:val="000000"/>
        <w:sz w:val="24"/>
        <w:szCs w:val="24"/>
      </w:rPr>
      <w:fldChar w:fldCharType="end"/>
    </w:r>
  </w:p>
  <w:p w14:paraId="000001FD" w14:textId="77777777" w:rsidR="00625C02" w:rsidRDefault="00625C02">
    <w:pPr>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E" w14:textId="77777777" w:rsidR="00625C02" w:rsidRDefault="00625C0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062ED" w14:textId="77777777" w:rsidR="001F4F7F" w:rsidRDefault="001F4F7F">
      <w:pPr>
        <w:spacing w:after="0" w:line="240" w:lineRule="auto"/>
      </w:pPr>
      <w:r>
        <w:separator/>
      </w:r>
    </w:p>
  </w:footnote>
  <w:footnote w:type="continuationSeparator" w:id="0">
    <w:p w14:paraId="319DE73D" w14:textId="77777777" w:rsidR="001F4F7F" w:rsidRDefault="001F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8" w14:textId="77777777" w:rsidR="00625C02" w:rsidRDefault="00625C02">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9" w14:textId="77777777" w:rsidR="00625C02" w:rsidRDefault="00625C02">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A" w14:textId="77777777" w:rsidR="00625C02" w:rsidRDefault="00625C0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A0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97786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A36F4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B9606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152F1C"/>
    <w:multiLevelType w:val="multilevel"/>
    <w:tmpl w:val="FFFFFFFF"/>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5" w15:restartNumberingAfterBreak="0">
    <w:nsid w:val="12660951"/>
    <w:multiLevelType w:val="hybridMultilevel"/>
    <w:tmpl w:val="D3E6C9BC"/>
    <w:lvl w:ilvl="0" w:tplc="75CA5F4C">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8581562"/>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8B04EEE"/>
    <w:multiLevelType w:val="multilevel"/>
    <w:tmpl w:val="21587C4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8" w15:restartNumberingAfterBreak="0">
    <w:nsid w:val="1B1E10A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CED588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2D6830"/>
    <w:multiLevelType w:val="hybridMultilevel"/>
    <w:tmpl w:val="702EF4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7B526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6516AF"/>
    <w:multiLevelType w:val="hybridMultilevel"/>
    <w:tmpl w:val="E3107F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ECC782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5CB6269"/>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39356D7B"/>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513807C4"/>
    <w:multiLevelType w:val="multilevel"/>
    <w:tmpl w:val="FFFFFFFF"/>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17" w15:restartNumberingAfterBreak="0">
    <w:nsid w:val="56523E2E"/>
    <w:multiLevelType w:val="hybridMultilevel"/>
    <w:tmpl w:val="66949D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D9F5A93"/>
    <w:multiLevelType w:val="multilevel"/>
    <w:tmpl w:val="FFFFFFFF"/>
    <w:lvl w:ilvl="0">
      <w:start w:val="1"/>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5E761713"/>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64142E3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30052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86A72D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DE540EB"/>
    <w:multiLevelType w:val="multilevel"/>
    <w:tmpl w:val="FFFFFFFF"/>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4" w15:restartNumberingAfterBreak="0">
    <w:nsid w:val="6E1B5C5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501108"/>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44F402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566DA7A"/>
    <w:multiLevelType w:val="hybridMultilevel"/>
    <w:tmpl w:val="3600E8C8"/>
    <w:lvl w:ilvl="0" w:tplc="F5AA1478">
      <w:start w:val="1"/>
      <w:numFmt w:val="bullet"/>
      <w:lvlText w:val=""/>
      <w:lvlJc w:val="left"/>
      <w:pPr>
        <w:ind w:left="720" w:hanging="360"/>
      </w:pPr>
      <w:rPr>
        <w:rFonts w:ascii="Symbol" w:hAnsi="Symbol" w:hint="default"/>
      </w:rPr>
    </w:lvl>
    <w:lvl w:ilvl="1" w:tplc="8370D80A">
      <w:start w:val="1"/>
      <w:numFmt w:val="bullet"/>
      <w:lvlText w:val="o"/>
      <w:lvlJc w:val="left"/>
      <w:pPr>
        <w:ind w:left="1440" w:hanging="360"/>
      </w:pPr>
      <w:rPr>
        <w:rFonts w:ascii="Courier New" w:hAnsi="Courier New" w:hint="default"/>
      </w:rPr>
    </w:lvl>
    <w:lvl w:ilvl="2" w:tplc="A83818C0">
      <w:start w:val="1"/>
      <w:numFmt w:val="bullet"/>
      <w:lvlText w:val=""/>
      <w:lvlJc w:val="left"/>
      <w:pPr>
        <w:ind w:left="2160" w:hanging="360"/>
      </w:pPr>
      <w:rPr>
        <w:rFonts w:ascii="Wingdings" w:hAnsi="Wingdings" w:hint="default"/>
      </w:rPr>
    </w:lvl>
    <w:lvl w:ilvl="3" w:tplc="04301992">
      <w:start w:val="1"/>
      <w:numFmt w:val="bullet"/>
      <w:lvlText w:val=""/>
      <w:lvlJc w:val="left"/>
      <w:pPr>
        <w:ind w:left="2880" w:hanging="360"/>
      </w:pPr>
      <w:rPr>
        <w:rFonts w:ascii="Symbol" w:hAnsi="Symbol" w:hint="default"/>
      </w:rPr>
    </w:lvl>
    <w:lvl w:ilvl="4" w:tplc="3A261834">
      <w:start w:val="1"/>
      <w:numFmt w:val="bullet"/>
      <w:lvlText w:val="o"/>
      <w:lvlJc w:val="left"/>
      <w:pPr>
        <w:ind w:left="3600" w:hanging="360"/>
      </w:pPr>
      <w:rPr>
        <w:rFonts w:ascii="Courier New" w:hAnsi="Courier New" w:hint="default"/>
      </w:rPr>
    </w:lvl>
    <w:lvl w:ilvl="5" w:tplc="DA7AFA7A">
      <w:start w:val="1"/>
      <w:numFmt w:val="bullet"/>
      <w:lvlText w:val=""/>
      <w:lvlJc w:val="left"/>
      <w:pPr>
        <w:ind w:left="4320" w:hanging="360"/>
      </w:pPr>
      <w:rPr>
        <w:rFonts w:ascii="Wingdings" w:hAnsi="Wingdings" w:hint="default"/>
      </w:rPr>
    </w:lvl>
    <w:lvl w:ilvl="6" w:tplc="B1BAD7D4">
      <w:start w:val="1"/>
      <w:numFmt w:val="bullet"/>
      <w:lvlText w:val=""/>
      <w:lvlJc w:val="left"/>
      <w:pPr>
        <w:ind w:left="5040" w:hanging="360"/>
      </w:pPr>
      <w:rPr>
        <w:rFonts w:ascii="Symbol" w:hAnsi="Symbol" w:hint="default"/>
      </w:rPr>
    </w:lvl>
    <w:lvl w:ilvl="7" w:tplc="72A20DC4">
      <w:start w:val="1"/>
      <w:numFmt w:val="bullet"/>
      <w:lvlText w:val="o"/>
      <w:lvlJc w:val="left"/>
      <w:pPr>
        <w:ind w:left="5760" w:hanging="360"/>
      </w:pPr>
      <w:rPr>
        <w:rFonts w:ascii="Courier New" w:hAnsi="Courier New" w:hint="default"/>
      </w:rPr>
    </w:lvl>
    <w:lvl w:ilvl="8" w:tplc="582E6AB8">
      <w:start w:val="1"/>
      <w:numFmt w:val="bullet"/>
      <w:lvlText w:val=""/>
      <w:lvlJc w:val="left"/>
      <w:pPr>
        <w:ind w:left="6480" w:hanging="360"/>
      </w:pPr>
      <w:rPr>
        <w:rFonts w:ascii="Wingdings" w:hAnsi="Wingdings" w:hint="default"/>
      </w:rPr>
    </w:lvl>
  </w:abstractNum>
  <w:abstractNum w:abstractNumId="28" w15:restartNumberingAfterBreak="0">
    <w:nsid w:val="77CF0E90"/>
    <w:multiLevelType w:val="hybridMultilevel"/>
    <w:tmpl w:val="9828D6F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7C71418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1769391">
    <w:abstractNumId w:val="27"/>
  </w:num>
  <w:num w:numId="2" w16cid:durableId="1359770889">
    <w:abstractNumId w:val="3"/>
  </w:num>
  <w:num w:numId="3" w16cid:durableId="488248862">
    <w:abstractNumId w:val="4"/>
  </w:num>
  <w:num w:numId="4" w16cid:durableId="1088967192">
    <w:abstractNumId w:val="0"/>
  </w:num>
  <w:num w:numId="5" w16cid:durableId="2060979409">
    <w:abstractNumId w:val="2"/>
  </w:num>
  <w:num w:numId="6" w16cid:durableId="718435311">
    <w:abstractNumId w:val="6"/>
  </w:num>
  <w:num w:numId="7" w16cid:durableId="693307561">
    <w:abstractNumId w:val="21"/>
  </w:num>
  <w:num w:numId="8" w16cid:durableId="391971452">
    <w:abstractNumId w:val="26"/>
  </w:num>
  <w:num w:numId="9" w16cid:durableId="1637447460">
    <w:abstractNumId w:val="1"/>
  </w:num>
  <w:num w:numId="10" w16cid:durableId="1645426837">
    <w:abstractNumId w:val="18"/>
  </w:num>
  <w:num w:numId="11" w16cid:durableId="660275836">
    <w:abstractNumId w:val="23"/>
  </w:num>
  <w:num w:numId="12" w16cid:durableId="654530922">
    <w:abstractNumId w:val="9"/>
  </w:num>
  <w:num w:numId="13" w16cid:durableId="514611420">
    <w:abstractNumId w:val="19"/>
  </w:num>
  <w:num w:numId="14" w16cid:durableId="1328825056">
    <w:abstractNumId w:val="16"/>
  </w:num>
  <w:num w:numId="15" w16cid:durableId="453913942">
    <w:abstractNumId w:val="15"/>
  </w:num>
  <w:num w:numId="16" w16cid:durableId="1672948330">
    <w:abstractNumId w:val="14"/>
  </w:num>
  <w:num w:numId="17" w16cid:durableId="1835561346">
    <w:abstractNumId w:val="13"/>
  </w:num>
  <w:num w:numId="18" w16cid:durableId="414088392">
    <w:abstractNumId w:val="25"/>
  </w:num>
  <w:num w:numId="19" w16cid:durableId="1067649736">
    <w:abstractNumId w:val="24"/>
  </w:num>
  <w:num w:numId="20" w16cid:durableId="627662066">
    <w:abstractNumId w:val="29"/>
  </w:num>
  <w:num w:numId="21" w16cid:durableId="590819577">
    <w:abstractNumId w:val="22"/>
  </w:num>
  <w:num w:numId="22" w16cid:durableId="977999254">
    <w:abstractNumId w:val="8"/>
  </w:num>
  <w:num w:numId="23" w16cid:durableId="1714502939">
    <w:abstractNumId w:val="28"/>
  </w:num>
  <w:num w:numId="24" w16cid:durableId="206334119">
    <w:abstractNumId w:val="12"/>
  </w:num>
  <w:num w:numId="25" w16cid:durableId="32079776">
    <w:abstractNumId w:val="20"/>
  </w:num>
  <w:num w:numId="26" w16cid:durableId="333076452">
    <w:abstractNumId w:val="11"/>
  </w:num>
  <w:num w:numId="27" w16cid:durableId="1974868323">
    <w:abstractNumId w:val="7"/>
  </w:num>
  <w:num w:numId="28" w16cid:durableId="1232085394">
    <w:abstractNumId w:val="10"/>
  </w:num>
  <w:num w:numId="29" w16cid:durableId="521090067">
    <w:abstractNumId w:val="5"/>
  </w:num>
  <w:num w:numId="30" w16cid:durableId="130569541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791"/>
    <w:rsid w:val="0000050E"/>
    <w:rsid w:val="00000833"/>
    <w:rsid w:val="0000124A"/>
    <w:rsid w:val="000013FE"/>
    <w:rsid w:val="0000176F"/>
    <w:rsid w:val="00002620"/>
    <w:rsid w:val="00002FB3"/>
    <w:rsid w:val="000037BC"/>
    <w:rsid w:val="00003A0B"/>
    <w:rsid w:val="00003C71"/>
    <w:rsid w:val="000047B5"/>
    <w:rsid w:val="0000481B"/>
    <w:rsid w:val="00004A5C"/>
    <w:rsid w:val="00004D29"/>
    <w:rsid w:val="00005423"/>
    <w:rsid w:val="0000578F"/>
    <w:rsid w:val="0000764C"/>
    <w:rsid w:val="00007932"/>
    <w:rsid w:val="00007A51"/>
    <w:rsid w:val="00007DB4"/>
    <w:rsid w:val="000103BA"/>
    <w:rsid w:val="000107EB"/>
    <w:rsid w:val="000108F7"/>
    <w:rsid w:val="000109A8"/>
    <w:rsid w:val="00010CD9"/>
    <w:rsid w:val="00011234"/>
    <w:rsid w:val="000122E9"/>
    <w:rsid w:val="00012D1B"/>
    <w:rsid w:val="0001375A"/>
    <w:rsid w:val="00013C54"/>
    <w:rsid w:val="00014BD1"/>
    <w:rsid w:val="000153AD"/>
    <w:rsid w:val="000155AB"/>
    <w:rsid w:val="00016C22"/>
    <w:rsid w:val="000173FB"/>
    <w:rsid w:val="00017E2E"/>
    <w:rsid w:val="00017EFA"/>
    <w:rsid w:val="00017F27"/>
    <w:rsid w:val="00020054"/>
    <w:rsid w:val="0002028F"/>
    <w:rsid w:val="0002089C"/>
    <w:rsid w:val="00020C46"/>
    <w:rsid w:val="00020DA4"/>
    <w:rsid w:val="000211D5"/>
    <w:rsid w:val="00021674"/>
    <w:rsid w:val="000225CB"/>
    <w:rsid w:val="00022659"/>
    <w:rsid w:val="000230AD"/>
    <w:rsid w:val="000232FA"/>
    <w:rsid w:val="00023B28"/>
    <w:rsid w:val="00023D44"/>
    <w:rsid w:val="00023F2D"/>
    <w:rsid w:val="00023FEC"/>
    <w:rsid w:val="0002420D"/>
    <w:rsid w:val="000253A8"/>
    <w:rsid w:val="00025528"/>
    <w:rsid w:val="0002557B"/>
    <w:rsid w:val="00025797"/>
    <w:rsid w:val="0002590C"/>
    <w:rsid w:val="0002596E"/>
    <w:rsid w:val="00025D0A"/>
    <w:rsid w:val="00027ADC"/>
    <w:rsid w:val="00027EEC"/>
    <w:rsid w:val="00030683"/>
    <w:rsid w:val="000308FB"/>
    <w:rsid w:val="00030EE3"/>
    <w:rsid w:val="00030FBC"/>
    <w:rsid w:val="000310DE"/>
    <w:rsid w:val="0003113C"/>
    <w:rsid w:val="00031DFD"/>
    <w:rsid w:val="0003216A"/>
    <w:rsid w:val="00033D2C"/>
    <w:rsid w:val="0003439A"/>
    <w:rsid w:val="00034C98"/>
    <w:rsid w:val="000356D3"/>
    <w:rsid w:val="00036188"/>
    <w:rsid w:val="00036B45"/>
    <w:rsid w:val="00036CE1"/>
    <w:rsid w:val="00037CB1"/>
    <w:rsid w:val="00037D7F"/>
    <w:rsid w:val="00040594"/>
    <w:rsid w:val="00040951"/>
    <w:rsid w:val="0004110B"/>
    <w:rsid w:val="00041873"/>
    <w:rsid w:val="00041EA8"/>
    <w:rsid w:val="00041F5D"/>
    <w:rsid w:val="00042750"/>
    <w:rsid w:val="0004320E"/>
    <w:rsid w:val="0004343C"/>
    <w:rsid w:val="00043491"/>
    <w:rsid w:val="000435A4"/>
    <w:rsid w:val="000449AB"/>
    <w:rsid w:val="00044A03"/>
    <w:rsid w:val="00045725"/>
    <w:rsid w:val="00045BF1"/>
    <w:rsid w:val="00046667"/>
    <w:rsid w:val="00046997"/>
    <w:rsid w:val="000469F5"/>
    <w:rsid w:val="00046F53"/>
    <w:rsid w:val="000479A1"/>
    <w:rsid w:val="000502CF"/>
    <w:rsid w:val="000504E1"/>
    <w:rsid w:val="00050A83"/>
    <w:rsid w:val="00051435"/>
    <w:rsid w:val="00051845"/>
    <w:rsid w:val="00051B34"/>
    <w:rsid w:val="000524F9"/>
    <w:rsid w:val="00052849"/>
    <w:rsid w:val="000528B6"/>
    <w:rsid w:val="00052DA5"/>
    <w:rsid w:val="00053447"/>
    <w:rsid w:val="00053784"/>
    <w:rsid w:val="0005379C"/>
    <w:rsid w:val="000538A1"/>
    <w:rsid w:val="00053F32"/>
    <w:rsid w:val="00054501"/>
    <w:rsid w:val="0005499C"/>
    <w:rsid w:val="00054ABE"/>
    <w:rsid w:val="00054C07"/>
    <w:rsid w:val="00054E93"/>
    <w:rsid w:val="00054ECE"/>
    <w:rsid w:val="0005662F"/>
    <w:rsid w:val="00056F1B"/>
    <w:rsid w:val="00056FD6"/>
    <w:rsid w:val="0005792F"/>
    <w:rsid w:val="00057AB5"/>
    <w:rsid w:val="00057D61"/>
    <w:rsid w:val="00057D8F"/>
    <w:rsid w:val="00057E42"/>
    <w:rsid w:val="000603BA"/>
    <w:rsid w:val="00060462"/>
    <w:rsid w:val="000605F1"/>
    <w:rsid w:val="00062239"/>
    <w:rsid w:val="000638FE"/>
    <w:rsid w:val="00063E54"/>
    <w:rsid w:val="0006474E"/>
    <w:rsid w:val="000649C0"/>
    <w:rsid w:val="000650FD"/>
    <w:rsid w:val="0006579C"/>
    <w:rsid w:val="00065970"/>
    <w:rsid w:val="00066626"/>
    <w:rsid w:val="00066A97"/>
    <w:rsid w:val="00067770"/>
    <w:rsid w:val="00070376"/>
    <w:rsid w:val="0007037D"/>
    <w:rsid w:val="00070E6B"/>
    <w:rsid w:val="00070FFF"/>
    <w:rsid w:val="000713E4"/>
    <w:rsid w:val="0007229E"/>
    <w:rsid w:val="000725C7"/>
    <w:rsid w:val="000729EB"/>
    <w:rsid w:val="000730F4"/>
    <w:rsid w:val="0007314F"/>
    <w:rsid w:val="0007322F"/>
    <w:rsid w:val="000735C0"/>
    <w:rsid w:val="00073608"/>
    <w:rsid w:val="00073DB4"/>
    <w:rsid w:val="000749B0"/>
    <w:rsid w:val="000750E5"/>
    <w:rsid w:val="00075592"/>
    <w:rsid w:val="00076DEB"/>
    <w:rsid w:val="00076F9B"/>
    <w:rsid w:val="000772C1"/>
    <w:rsid w:val="00077439"/>
    <w:rsid w:val="000779FB"/>
    <w:rsid w:val="00077D8E"/>
    <w:rsid w:val="00077E5E"/>
    <w:rsid w:val="0008024E"/>
    <w:rsid w:val="000806FC"/>
    <w:rsid w:val="00081226"/>
    <w:rsid w:val="000813C8"/>
    <w:rsid w:val="00081DF5"/>
    <w:rsid w:val="00081F54"/>
    <w:rsid w:val="0008218C"/>
    <w:rsid w:val="000824A2"/>
    <w:rsid w:val="00082E6B"/>
    <w:rsid w:val="00083209"/>
    <w:rsid w:val="00083997"/>
    <w:rsid w:val="00083A27"/>
    <w:rsid w:val="00083B1F"/>
    <w:rsid w:val="00083EA8"/>
    <w:rsid w:val="00084246"/>
    <w:rsid w:val="0008426F"/>
    <w:rsid w:val="00084B0E"/>
    <w:rsid w:val="0008553E"/>
    <w:rsid w:val="00085A43"/>
    <w:rsid w:val="0008665E"/>
    <w:rsid w:val="00086746"/>
    <w:rsid w:val="0008681A"/>
    <w:rsid w:val="00086C1B"/>
    <w:rsid w:val="00087400"/>
    <w:rsid w:val="0008758B"/>
    <w:rsid w:val="00087DA4"/>
    <w:rsid w:val="00090198"/>
    <w:rsid w:val="000905E9"/>
    <w:rsid w:val="00091C66"/>
    <w:rsid w:val="00091DE8"/>
    <w:rsid w:val="00091F4C"/>
    <w:rsid w:val="0009330C"/>
    <w:rsid w:val="0009349D"/>
    <w:rsid w:val="00093C4F"/>
    <w:rsid w:val="00094EBE"/>
    <w:rsid w:val="00094FD0"/>
    <w:rsid w:val="00096319"/>
    <w:rsid w:val="00096586"/>
    <w:rsid w:val="00097198"/>
    <w:rsid w:val="00097339"/>
    <w:rsid w:val="00097BEE"/>
    <w:rsid w:val="00097DC4"/>
    <w:rsid w:val="000A043A"/>
    <w:rsid w:val="000A0BA0"/>
    <w:rsid w:val="000A0D10"/>
    <w:rsid w:val="000A231F"/>
    <w:rsid w:val="000A2A70"/>
    <w:rsid w:val="000A2CE0"/>
    <w:rsid w:val="000A39F0"/>
    <w:rsid w:val="000A3DFC"/>
    <w:rsid w:val="000A3F32"/>
    <w:rsid w:val="000A424F"/>
    <w:rsid w:val="000A4E68"/>
    <w:rsid w:val="000A67FD"/>
    <w:rsid w:val="000A6841"/>
    <w:rsid w:val="000A75D2"/>
    <w:rsid w:val="000A78E1"/>
    <w:rsid w:val="000A7DDB"/>
    <w:rsid w:val="000B138F"/>
    <w:rsid w:val="000B164E"/>
    <w:rsid w:val="000B168C"/>
    <w:rsid w:val="000B1A29"/>
    <w:rsid w:val="000B1BF5"/>
    <w:rsid w:val="000B1CAE"/>
    <w:rsid w:val="000B1CB3"/>
    <w:rsid w:val="000B1DB7"/>
    <w:rsid w:val="000B23C5"/>
    <w:rsid w:val="000B2BC6"/>
    <w:rsid w:val="000B3E39"/>
    <w:rsid w:val="000B43F9"/>
    <w:rsid w:val="000B4DD1"/>
    <w:rsid w:val="000B4F00"/>
    <w:rsid w:val="000B5006"/>
    <w:rsid w:val="000B5606"/>
    <w:rsid w:val="000B5709"/>
    <w:rsid w:val="000B62DF"/>
    <w:rsid w:val="000B72EA"/>
    <w:rsid w:val="000B7A14"/>
    <w:rsid w:val="000B7AAF"/>
    <w:rsid w:val="000B7C1D"/>
    <w:rsid w:val="000C028B"/>
    <w:rsid w:val="000C028D"/>
    <w:rsid w:val="000C042D"/>
    <w:rsid w:val="000C0453"/>
    <w:rsid w:val="000C05C3"/>
    <w:rsid w:val="000C0E76"/>
    <w:rsid w:val="000C1492"/>
    <w:rsid w:val="000C212A"/>
    <w:rsid w:val="000C2D08"/>
    <w:rsid w:val="000C2E59"/>
    <w:rsid w:val="000C3711"/>
    <w:rsid w:val="000C379C"/>
    <w:rsid w:val="000C388A"/>
    <w:rsid w:val="000C3B41"/>
    <w:rsid w:val="000C3D2A"/>
    <w:rsid w:val="000C4228"/>
    <w:rsid w:val="000C451A"/>
    <w:rsid w:val="000C4BE0"/>
    <w:rsid w:val="000C4F44"/>
    <w:rsid w:val="000C5280"/>
    <w:rsid w:val="000C559E"/>
    <w:rsid w:val="000C5A94"/>
    <w:rsid w:val="000C5AED"/>
    <w:rsid w:val="000C60D1"/>
    <w:rsid w:val="000C6FC4"/>
    <w:rsid w:val="000C727C"/>
    <w:rsid w:val="000C7DCC"/>
    <w:rsid w:val="000C7F69"/>
    <w:rsid w:val="000D03FB"/>
    <w:rsid w:val="000D064D"/>
    <w:rsid w:val="000D1760"/>
    <w:rsid w:val="000D279A"/>
    <w:rsid w:val="000D28A5"/>
    <w:rsid w:val="000D31BD"/>
    <w:rsid w:val="000D365C"/>
    <w:rsid w:val="000D43D6"/>
    <w:rsid w:val="000D47DA"/>
    <w:rsid w:val="000D4860"/>
    <w:rsid w:val="000D49FB"/>
    <w:rsid w:val="000D4B47"/>
    <w:rsid w:val="000D5381"/>
    <w:rsid w:val="000D6323"/>
    <w:rsid w:val="000D646F"/>
    <w:rsid w:val="000D7203"/>
    <w:rsid w:val="000D7B5C"/>
    <w:rsid w:val="000D7C48"/>
    <w:rsid w:val="000E0D84"/>
    <w:rsid w:val="000E0EA0"/>
    <w:rsid w:val="000E13EC"/>
    <w:rsid w:val="000E14FD"/>
    <w:rsid w:val="000E2CBA"/>
    <w:rsid w:val="000E44E0"/>
    <w:rsid w:val="000E457B"/>
    <w:rsid w:val="000E51DB"/>
    <w:rsid w:val="000E530E"/>
    <w:rsid w:val="000E5C46"/>
    <w:rsid w:val="000E6032"/>
    <w:rsid w:val="000E683C"/>
    <w:rsid w:val="000E6F02"/>
    <w:rsid w:val="000E71D4"/>
    <w:rsid w:val="000E7508"/>
    <w:rsid w:val="000F0804"/>
    <w:rsid w:val="000F0989"/>
    <w:rsid w:val="000F2104"/>
    <w:rsid w:val="000F2582"/>
    <w:rsid w:val="000F26C1"/>
    <w:rsid w:val="000F288F"/>
    <w:rsid w:val="000F2A4C"/>
    <w:rsid w:val="000F36A2"/>
    <w:rsid w:val="000F392F"/>
    <w:rsid w:val="000F3C89"/>
    <w:rsid w:val="000F421B"/>
    <w:rsid w:val="000F4A71"/>
    <w:rsid w:val="000F4E8E"/>
    <w:rsid w:val="000F52AC"/>
    <w:rsid w:val="000F5C7C"/>
    <w:rsid w:val="000F6289"/>
    <w:rsid w:val="000F6953"/>
    <w:rsid w:val="000F71E2"/>
    <w:rsid w:val="000F73AB"/>
    <w:rsid w:val="001001E7"/>
    <w:rsid w:val="0010033C"/>
    <w:rsid w:val="0010050E"/>
    <w:rsid w:val="001008B1"/>
    <w:rsid w:val="00100A0C"/>
    <w:rsid w:val="00100A84"/>
    <w:rsid w:val="001015BA"/>
    <w:rsid w:val="00101A2E"/>
    <w:rsid w:val="00101AA6"/>
    <w:rsid w:val="00101C31"/>
    <w:rsid w:val="00102160"/>
    <w:rsid w:val="00102525"/>
    <w:rsid w:val="00102700"/>
    <w:rsid w:val="00102AE1"/>
    <w:rsid w:val="00103EEF"/>
    <w:rsid w:val="00103F6C"/>
    <w:rsid w:val="00104655"/>
    <w:rsid w:val="001051DF"/>
    <w:rsid w:val="0010621D"/>
    <w:rsid w:val="0010669C"/>
    <w:rsid w:val="00106BDD"/>
    <w:rsid w:val="00106EA3"/>
    <w:rsid w:val="00106EDA"/>
    <w:rsid w:val="00106F13"/>
    <w:rsid w:val="001072BB"/>
    <w:rsid w:val="00107453"/>
    <w:rsid w:val="00107A15"/>
    <w:rsid w:val="001107CF"/>
    <w:rsid w:val="001108D6"/>
    <w:rsid w:val="00110BB8"/>
    <w:rsid w:val="00110EC0"/>
    <w:rsid w:val="00110F98"/>
    <w:rsid w:val="00111258"/>
    <w:rsid w:val="001113E0"/>
    <w:rsid w:val="00111DFE"/>
    <w:rsid w:val="001120DE"/>
    <w:rsid w:val="00112112"/>
    <w:rsid w:val="001122B6"/>
    <w:rsid w:val="00112663"/>
    <w:rsid w:val="00112856"/>
    <w:rsid w:val="00112C54"/>
    <w:rsid w:val="00112D7F"/>
    <w:rsid w:val="00113108"/>
    <w:rsid w:val="001131CD"/>
    <w:rsid w:val="001138AE"/>
    <w:rsid w:val="00114608"/>
    <w:rsid w:val="0011549A"/>
    <w:rsid w:val="00115A19"/>
    <w:rsid w:val="00115C61"/>
    <w:rsid w:val="001160BD"/>
    <w:rsid w:val="00116CE8"/>
    <w:rsid w:val="00117DBB"/>
    <w:rsid w:val="00120E92"/>
    <w:rsid w:val="00121556"/>
    <w:rsid w:val="00121A29"/>
    <w:rsid w:val="00121E21"/>
    <w:rsid w:val="00122BAD"/>
    <w:rsid w:val="00122BBB"/>
    <w:rsid w:val="00122D98"/>
    <w:rsid w:val="00122EA4"/>
    <w:rsid w:val="001232F0"/>
    <w:rsid w:val="001240B7"/>
    <w:rsid w:val="00124E10"/>
    <w:rsid w:val="00124E9F"/>
    <w:rsid w:val="0012551B"/>
    <w:rsid w:val="00125687"/>
    <w:rsid w:val="001260C5"/>
    <w:rsid w:val="00126990"/>
    <w:rsid w:val="00126A03"/>
    <w:rsid w:val="00126A9D"/>
    <w:rsid w:val="00126EF2"/>
    <w:rsid w:val="0012746B"/>
    <w:rsid w:val="00127724"/>
    <w:rsid w:val="001279AE"/>
    <w:rsid w:val="00127E81"/>
    <w:rsid w:val="0013022D"/>
    <w:rsid w:val="0013053F"/>
    <w:rsid w:val="001311A5"/>
    <w:rsid w:val="00132AA7"/>
    <w:rsid w:val="0013308B"/>
    <w:rsid w:val="001331AF"/>
    <w:rsid w:val="001339E3"/>
    <w:rsid w:val="00134E29"/>
    <w:rsid w:val="001354D4"/>
    <w:rsid w:val="00135CAE"/>
    <w:rsid w:val="00135F49"/>
    <w:rsid w:val="001371DF"/>
    <w:rsid w:val="00137205"/>
    <w:rsid w:val="00137A1A"/>
    <w:rsid w:val="00140011"/>
    <w:rsid w:val="00140440"/>
    <w:rsid w:val="001405A3"/>
    <w:rsid w:val="0014065C"/>
    <w:rsid w:val="001409A4"/>
    <w:rsid w:val="00141952"/>
    <w:rsid w:val="00141B59"/>
    <w:rsid w:val="00141C17"/>
    <w:rsid w:val="0014294D"/>
    <w:rsid w:val="00142AE5"/>
    <w:rsid w:val="00143A7F"/>
    <w:rsid w:val="00143B5E"/>
    <w:rsid w:val="00144E0D"/>
    <w:rsid w:val="00144FE9"/>
    <w:rsid w:val="001456C9"/>
    <w:rsid w:val="00145A69"/>
    <w:rsid w:val="001466FE"/>
    <w:rsid w:val="0014682C"/>
    <w:rsid w:val="00146B93"/>
    <w:rsid w:val="001477C6"/>
    <w:rsid w:val="00147DF2"/>
    <w:rsid w:val="00147E41"/>
    <w:rsid w:val="001504DC"/>
    <w:rsid w:val="0015077D"/>
    <w:rsid w:val="00150918"/>
    <w:rsid w:val="0015144B"/>
    <w:rsid w:val="00151511"/>
    <w:rsid w:val="00152691"/>
    <w:rsid w:val="001526C6"/>
    <w:rsid w:val="00152A8A"/>
    <w:rsid w:val="00152C5D"/>
    <w:rsid w:val="00152E44"/>
    <w:rsid w:val="001535CC"/>
    <w:rsid w:val="001544C3"/>
    <w:rsid w:val="00154BDE"/>
    <w:rsid w:val="0015712D"/>
    <w:rsid w:val="00157376"/>
    <w:rsid w:val="001573DA"/>
    <w:rsid w:val="0015774F"/>
    <w:rsid w:val="001607EB"/>
    <w:rsid w:val="00161103"/>
    <w:rsid w:val="0016137C"/>
    <w:rsid w:val="0016173C"/>
    <w:rsid w:val="00162128"/>
    <w:rsid w:val="001623D3"/>
    <w:rsid w:val="0016338F"/>
    <w:rsid w:val="001643F2"/>
    <w:rsid w:val="00164600"/>
    <w:rsid w:val="00164911"/>
    <w:rsid w:val="00164973"/>
    <w:rsid w:val="00164CBE"/>
    <w:rsid w:val="00164F4A"/>
    <w:rsid w:val="0016508A"/>
    <w:rsid w:val="00165389"/>
    <w:rsid w:val="001663F9"/>
    <w:rsid w:val="00166703"/>
    <w:rsid w:val="001667FC"/>
    <w:rsid w:val="00167046"/>
    <w:rsid w:val="00167645"/>
    <w:rsid w:val="00167AB0"/>
    <w:rsid w:val="001701ED"/>
    <w:rsid w:val="0017037D"/>
    <w:rsid w:val="00170B6B"/>
    <w:rsid w:val="00170B97"/>
    <w:rsid w:val="001710AE"/>
    <w:rsid w:val="001710BE"/>
    <w:rsid w:val="00171657"/>
    <w:rsid w:val="00171B49"/>
    <w:rsid w:val="00171C21"/>
    <w:rsid w:val="00171DAD"/>
    <w:rsid w:val="00172612"/>
    <w:rsid w:val="00172756"/>
    <w:rsid w:val="00172A3E"/>
    <w:rsid w:val="00172DF9"/>
    <w:rsid w:val="00173004"/>
    <w:rsid w:val="00173AC9"/>
    <w:rsid w:val="001747A2"/>
    <w:rsid w:val="0017534F"/>
    <w:rsid w:val="001764E6"/>
    <w:rsid w:val="0017652B"/>
    <w:rsid w:val="00177068"/>
    <w:rsid w:val="001771B2"/>
    <w:rsid w:val="001775BA"/>
    <w:rsid w:val="001777F5"/>
    <w:rsid w:val="00177E7B"/>
    <w:rsid w:val="0018021B"/>
    <w:rsid w:val="00180681"/>
    <w:rsid w:val="001806C3"/>
    <w:rsid w:val="00181796"/>
    <w:rsid w:val="001819FA"/>
    <w:rsid w:val="00182149"/>
    <w:rsid w:val="00182358"/>
    <w:rsid w:val="0018243C"/>
    <w:rsid w:val="00182D00"/>
    <w:rsid w:val="0018303A"/>
    <w:rsid w:val="00183070"/>
    <w:rsid w:val="001832EF"/>
    <w:rsid w:val="0018335C"/>
    <w:rsid w:val="0018392E"/>
    <w:rsid w:val="00184439"/>
    <w:rsid w:val="001844A4"/>
    <w:rsid w:val="0018493C"/>
    <w:rsid w:val="00184EF0"/>
    <w:rsid w:val="001850F1"/>
    <w:rsid w:val="001854C4"/>
    <w:rsid w:val="00186D07"/>
    <w:rsid w:val="00186D61"/>
    <w:rsid w:val="00187828"/>
    <w:rsid w:val="00187C38"/>
    <w:rsid w:val="001901BB"/>
    <w:rsid w:val="00190359"/>
    <w:rsid w:val="001909D5"/>
    <w:rsid w:val="00190B21"/>
    <w:rsid w:val="00190E18"/>
    <w:rsid w:val="00190EB3"/>
    <w:rsid w:val="00191FF0"/>
    <w:rsid w:val="00192288"/>
    <w:rsid w:val="00192522"/>
    <w:rsid w:val="00192686"/>
    <w:rsid w:val="0019275A"/>
    <w:rsid w:val="001927BE"/>
    <w:rsid w:val="00192959"/>
    <w:rsid w:val="001929D2"/>
    <w:rsid w:val="00192CCA"/>
    <w:rsid w:val="00193BE8"/>
    <w:rsid w:val="0019496A"/>
    <w:rsid w:val="00194C46"/>
    <w:rsid w:val="0019521E"/>
    <w:rsid w:val="001957AE"/>
    <w:rsid w:val="0019675C"/>
    <w:rsid w:val="00196A85"/>
    <w:rsid w:val="001A0644"/>
    <w:rsid w:val="001A1039"/>
    <w:rsid w:val="001A118C"/>
    <w:rsid w:val="001A1643"/>
    <w:rsid w:val="001A2A40"/>
    <w:rsid w:val="001A2DFA"/>
    <w:rsid w:val="001A3B6D"/>
    <w:rsid w:val="001A418C"/>
    <w:rsid w:val="001A4A7C"/>
    <w:rsid w:val="001A5191"/>
    <w:rsid w:val="001A61A5"/>
    <w:rsid w:val="001A63EF"/>
    <w:rsid w:val="001A6D6D"/>
    <w:rsid w:val="001A7066"/>
    <w:rsid w:val="001A7726"/>
    <w:rsid w:val="001A7844"/>
    <w:rsid w:val="001A78EF"/>
    <w:rsid w:val="001B00AA"/>
    <w:rsid w:val="001B0696"/>
    <w:rsid w:val="001B0B05"/>
    <w:rsid w:val="001B0BFD"/>
    <w:rsid w:val="001B1031"/>
    <w:rsid w:val="001B1422"/>
    <w:rsid w:val="001B175F"/>
    <w:rsid w:val="001B1E44"/>
    <w:rsid w:val="001B2340"/>
    <w:rsid w:val="001B279A"/>
    <w:rsid w:val="001B2AE4"/>
    <w:rsid w:val="001B2C33"/>
    <w:rsid w:val="001B316B"/>
    <w:rsid w:val="001B3D3E"/>
    <w:rsid w:val="001B42E4"/>
    <w:rsid w:val="001B5B82"/>
    <w:rsid w:val="001B60E3"/>
    <w:rsid w:val="001B63C7"/>
    <w:rsid w:val="001B64FD"/>
    <w:rsid w:val="001B78BD"/>
    <w:rsid w:val="001B78D4"/>
    <w:rsid w:val="001B7ACE"/>
    <w:rsid w:val="001B7B8A"/>
    <w:rsid w:val="001B7F53"/>
    <w:rsid w:val="001C0492"/>
    <w:rsid w:val="001C05B8"/>
    <w:rsid w:val="001C0711"/>
    <w:rsid w:val="001C09E7"/>
    <w:rsid w:val="001C0CC4"/>
    <w:rsid w:val="001C1028"/>
    <w:rsid w:val="001C1667"/>
    <w:rsid w:val="001C26AC"/>
    <w:rsid w:val="001C2814"/>
    <w:rsid w:val="001C29E1"/>
    <w:rsid w:val="001C2D8A"/>
    <w:rsid w:val="001C2DA3"/>
    <w:rsid w:val="001C2DDC"/>
    <w:rsid w:val="001C334B"/>
    <w:rsid w:val="001C353E"/>
    <w:rsid w:val="001C4001"/>
    <w:rsid w:val="001C4102"/>
    <w:rsid w:val="001C460B"/>
    <w:rsid w:val="001C4B73"/>
    <w:rsid w:val="001C4E6F"/>
    <w:rsid w:val="001C508D"/>
    <w:rsid w:val="001C5473"/>
    <w:rsid w:val="001C56A6"/>
    <w:rsid w:val="001C5A51"/>
    <w:rsid w:val="001C5C79"/>
    <w:rsid w:val="001C76F5"/>
    <w:rsid w:val="001C7C1F"/>
    <w:rsid w:val="001C7D2C"/>
    <w:rsid w:val="001C7FAF"/>
    <w:rsid w:val="001D11E0"/>
    <w:rsid w:val="001D133C"/>
    <w:rsid w:val="001D160E"/>
    <w:rsid w:val="001D16AA"/>
    <w:rsid w:val="001D1D3F"/>
    <w:rsid w:val="001D1F10"/>
    <w:rsid w:val="001D247F"/>
    <w:rsid w:val="001D26EE"/>
    <w:rsid w:val="001D2839"/>
    <w:rsid w:val="001D2BAF"/>
    <w:rsid w:val="001D2DF2"/>
    <w:rsid w:val="001D3476"/>
    <w:rsid w:val="001D34EB"/>
    <w:rsid w:val="001D3817"/>
    <w:rsid w:val="001D3975"/>
    <w:rsid w:val="001D4533"/>
    <w:rsid w:val="001D4925"/>
    <w:rsid w:val="001D5318"/>
    <w:rsid w:val="001D56E1"/>
    <w:rsid w:val="001D6149"/>
    <w:rsid w:val="001D617F"/>
    <w:rsid w:val="001D70B7"/>
    <w:rsid w:val="001D7463"/>
    <w:rsid w:val="001D764F"/>
    <w:rsid w:val="001D78A8"/>
    <w:rsid w:val="001D7CFA"/>
    <w:rsid w:val="001D7E9D"/>
    <w:rsid w:val="001E02A3"/>
    <w:rsid w:val="001E15DA"/>
    <w:rsid w:val="001E1776"/>
    <w:rsid w:val="001E1F82"/>
    <w:rsid w:val="001E2E7E"/>
    <w:rsid w:val="001E3066"/>
    <w:rsid w:val="001E3FD2"/>
    <w:rsid w:val="001E48D8"/>
    <w:rsid w:val="001E4BD1"/>
    <w:rsid w:val="001E4D18"/>
    <w:rsid w:val="001E4FA8"/>
    <w:rsid w:val="001E50F9"/>
    <w:rsid w:val="001E530C"/>
    <w:rsid w:val="001E68EE"/>
    <w:rsid w:val="001E7237"/>
    <w:rsid w:val="001E7454"/>
    <w:rsid w:val="001E7D03"/>
    <w:rsid w:val="001F04F7"/>
    <w:rsid w:val="001F096A"/>
    <w:rsid w:val="001F0A4A"/>
    <w:rsid w:val="001F0B23"/>
    <w:rsid w:val="001F117C"/>
    <w:rsid w:val="001F1774"/>
    <w:rsid w:val="001F1E8C"/>
    <w:rsid w:val="001F2585"/>
    <w:rsid w:val="001F28D3"/>
    <w:rsid w:val="001F29B5"/>
    <w:rsid w:val="001F2E40"/>
    <w:rsid w:val="001F3243"/>
    <w:rsid w:val="001F3363"/>
    <w:rsid w:val="001F45AF"/>
    <w:rsid w:val="001F46CE"/>
    <w:rsid w:val="001F4F6D"/>
    <w:rsid w:val="001F4F7F"/>
    <w:rsid w:val="001F573E"/>
    <w:rsid w:val="001F67EC"/>
    <w:rsid w:val="001F6974"/>
    <w:rsid w:val="001F7371"/>
    <w:rsid w:val="001F76FB"/>
    <w:rsid w:val="001F7888"/>
    <w:rsid w:val="001F78F5"/>
    <w:rsid w:val="002002F5"/>
    <w:rsid w:val="00200502"/>
    <w:rsid w:val="0020063F"/>
    <w:rsid w:val="00200E70"/>
    <w:rsid w:val="00201818"/>
    <w:rsid w:val="0020285E"/>
    <w:rsid w:val="00202E6B"/>
    <w:rsid w:val="00203D66"/>
    <w:rsid w:val="002041BE"/>
    <w:rsid w:val="00204379"/>
    <w:rsid w:val="00204552"/>
    <w:rsid w:val="00204602"/>
    <w:rsid w:val="00204C97"/>
    <w:rsid w:val="00204F72"/>
    <w:rsid w:val="002053B6"/>
    <w:rsid w:val="002056F7"/>
    <w:rsid w:val="00206DC7"/>
    <w:rsid w:val="00206EAE"/>
    <w:rsid w:val="00207357"/>
    <w:rsid w:val="0020747F"/>
    <w:rsid w:val="00207A2F"/>
    <w:rsid w:val="00207BEA"/>
    <w:rsid w:val="00207CAC"/>
    <w:rsid w:val="00210334"/>
    <w:rsid w:val="00210B87"/>
    <w:rsid w:val="00211111"/>
    <w:rsid w:val="00211287"/>
    <w:rsid w:val="002119AB"/>
    <w:rsid w:val="00211DF3"/>
    <w:rsid w:val="00214155"/>
    <w:rsid w:val="00214503"/>
    <w:rsid w:val="0021456B"/>
    <w:rsid w:val="0021457C"/>
    <w:rsid w:val="00215633"/>
    <w:rsid w:val="0021565F"/>
    <w:rsid w:val="00215C7A"/>
    <w:rsid w:val="002163F0"/>
    <w:rsid w:val="00216BDD"/>
    <w:rsid w:val="00216F8D"/>
    <w:rsid w:val="00217230"/>
    <w:rsid w:val="00217467"/>
    <w:rsid w:val="002200FD"/>
    <w:rsid w:val="00220126"/>
    <w:rsid w:val="0022017B"/>
    <w:rsid w:val="00220301"/>
    <w:rsid w:val="00220C87"/>
    <w:rsid w:val="00222120"/>
    <w:rsid w:val="00222435"/>
    <w:rsid w:val="00222B1C"/>
    <w:rsid w:val="002243CB"/>
    <w:rsid w:val="002244B2"/>
    <w:rsid w:val="00225D8B"/>
    <w:rsid w:val="00225FDC"/>
    <w:rsid w:val="002275E0"/>
    <w:rsid w:val="00227767"/>
    <w:rsid w:val="00227B14"/>
    <w:rsid w:val="0023078B"/>
    <w:rsid w:val="0023099F"/>
    <w:rsid w:val="002311FA"/>
    <w:rsid w:val="00231490"/>
    <w:rsid w:val="0023199A"/>
    <w:rsid w:val="0023286E"/>
    <w:rsid w:val="00233562"/>
    <w:rsid w:val="002335C9"/>
    <w:rsid w:val="00233C38"/>
    <w:rsid w:val="00234255"/>
    <w:rsid w:val="002343C9"/>
    <w:rsid w:val="00234E6C"/>
    <w:rsid w:val="00236351"/>
    <w:rsid w:val="00240204"/>
    <w:rsid w:val="00240978"/>
    <w:rsid w:val="00240BD4"/>
    <w:rsid w:val="00240E92"/>
    <w:rsid w:val="00241022"/>
    <w:rsid w:val="0024194D"/>
    <w:rsid w:val="00241F20"/>
    <w:rsid w:val="00242093"/>
    <w:rsid w:val="002422CE"/>
    <w:rsid w:val="00242F78"/>
    <w:rsid w:val="00243572"/>
    <w:rsid w:val="002442D8"/>
    <w:rsid w:val="00244D1A"/>
    <w:rsid w:val="00245156"/>
    <w:rsid w:val="00245242"/>
    <w:rsid w:val="00245BA5"/>
    <w:rsid w:val="0024614C"/>
    <w:rsid w:val="00246920"/>
    <w:rsid w:val="00246C73"/>
    <w:rsid w:val="00246C83"/>
    <w:rsid w:val="00246EEF"/>
    <w:rsid w:val="00247126"/>
    <w:rsid w:val="00247408"/>
    <w:rsid w:val="002478E6"/>
    <w:rsid w:val="00250448"/>
    <w:rsid w:val="002517AA"/>
    <w:rsid w:val="002517EB"/>
    <w:rsid w:val="002518BB"/>
    <w:rsid w:val="002518C2"/>
    <w:rsid w:val="00252441"/>
    <w:rsid w:val="002535AA"/>
    <w:rsid w:val="00253A7E"/>
    <w:rsid w:val="00253D57"/>
    <w:rsid w:val="00253DC3"/>
    <w:rsid w:val="00253F45"/>
    <w:rsid w:val="00255799"/>
    <w:rsid w:val="00255943"/>
    <w:rsid w:val="00255E46"/>
    <w:rsid w:val="00256FA2"/>
    <w:rsid w:val="002571C5"/>
    <w:rsid w:val="00257B38"/>
    <w:rsid w:val="00257B96"/>
    <w:rsid w:val="00257C01"/>
    <w:rsid w:val="00257CE1"/>
    <w:rsid w:val="00257D63"/>
    <w:rsid w:val="002617AF"/>
    <w:rsid w:val="0026223C"/>
    <w:rsid w:val="0026370B"/>
    <w:rsid w:val="002637C2"/>
    <w:rsid w:val="00263F2C"/>
    <w:rsid w:val="002643A5"/>
    <w:rsid w:val="00264647"/>
    <w:rsid w:val="0026592C"/>
    <w:rsid w:val="00265B63"/>
    <w:rsid w:val="00265E27"/>
    <w:rsid w:val="002661FF"/>
    <w:rsid w:val="00266471"/>
    <w:rsid w:val="00266734"/>
    <w:rsid w:val="00266BF7"/>
    <w:rsid w:val="00267875"/>
    <w:rsid w:val="00267C57"/>
    <w:rsid w:val="002703CF"/>
    <w:rsid w:val="00270B0C"/>
    <w:rsid w:val="00270CC6"/>
    <w:rsid w:val="00271661"/>
    <w:rsid w:val="002716D3"/>
    <w:rsid w:val="00272702"/>
    <w:rsid w:val="00272817"/>
    <w:rsid w:val="00272C6C"/>
    <w:rsid w:val="0027330A"/>
    <w:rsid w:val="002733A5"/>
    <w:rsid w:val="00274297"/>
    <w:rsid w:val="00274763"/>
    <w:rsid w:val="00274BC3"/>
    <w:rsid w:val="0027562B"/>
    <w:rsid w:val="00275681"/>
    <w:rsid w:val="002757CF"/>
    <w:rsid w:val="00276048"/>
    <w:rsid w:val="002767BD"/>
    <w:rsid w:val="002773B1"/>
    <w:rsid w:val="002800B7"/>
    <w:rsid w:val="00280589"/>
    <w:rsid w:val="002807CD"/>
    <w:rsid w:val="0028217E"/>
    <w:rsid w:val="00282735"/>
    <w:rsid w:val="0028278E"/>
    <w:rsid w:val="00282A6B"/>
    <w:rsid w:val="00282CC0"/>
    <w:rsid w:val="0028328D"/>
    <w:rsid w:val="00283633"/>
    <w:rsid w:val="00283F86"/>
    <w:rsid w:val="002840A0"/>
    <w:rsid w:val="002847A2"/>
    <w:rsid w:val="00284F56"/>
    <w:rsid w:val="002851DF"/>
    <w:rsid w:val="00286AFC"/>
    <w:rsid w:val="00286D68"/>
    <w:rsid w:val="0028701E"/>
    <w:rsid w:val="0028735B"/>
    <w:rsid w:val="0028765F"/>
    <w:rsid w:val="00287B47"/>
    <w:rsid w:val="00290AAC"/>
    <w:rsid w:val="00291937"/>
    <w:rsid w:val="00291A57"/>
    <w:rsid w:val="00291F26"/>
    <w:rsid w:val="002923AF"/>
    <w:rsid w:val="00292473"/>
    <w:rsid w:val="0029271C"/>
    <w:rsid w:val="00292783"/>
    <w:rsid w:val="00292D29"/>
    <w:rsid w:val="00292EF5"/>
    <w:rsid w:val="002949F7"/>
    <w:rsid w:val="00295882"/>
    <w:rsid w:val="00295A41"/>
    <w:rsid w:val="00296B99"/>
    <w:rsid w:val="00296BFB"/>
    <w:rsid w:val="002970B7"/>
    <w:rsid w:val="00297254"/>
    <w:rsid w:val="002978D8"/>
    <w:rsid w:val="00297B5B"/>
    <w:rsid w:val="00297C0C"/>
    <w:rsid w:val="002A0A37"/>
    <w:rsid w:val="002A1024"/>
    <w:rsid w:val="002A13BA"/>
    <w:rsid w:val="002A1EA6"/>
    <w:rsid w:val="002A2D95"/>
    <w:rsid w:val="002A3385"/>
    <w:rsid w:val="002A4CEE"/>
    <w:rsid w:val="002A4EF2"/>
    <w:rsid w:val="002A5516"/>
    <w:rsid w:val="002A610A"/>
    <w:rsid w:val="002A676F"/>
    <w:rsid w:val="002A6CF3"/>
    <w:rsid w:val="002A70FF"/>
    <w:rsid w:val="002A7180"/>
    <w:rsid w:val="002A779E"/>
    <w:rsid w:val="002A7EB4"/>
    <w:rsid w:val="002A7F3E"/>
    <w:rsid w:val="002B06E9"/>
    <w:rsid w:val="002B0FBF"/>
    <w:rsid w:val="002B10EC"/>
    <w:rsid w:val="002B166C"/>
    <w:rsid w:val="002B182F"/>
    <w:rsid w:val="002B231A"/>
    <w:rsid w:val="002B2466"/>
    <w:rsid w:val="002B267E"/>
    <w:rsid w:val="002B2D5C"/>
    <w:rsid w:val="002B3507"/>
    <w:rsid w:val="002B37F4"/>
    <w:rsid w:val="002B3B7A"/>
    <w:rsid w:val="002B40F7"/>
    <w:rsid w:val="002B4367"/>
    <w:rsid w:val="002B48F6"/>
    <w:rsid w:val="002B4BDE"/>
    <w:rsid w:val="002B5D02"/>
    <w:rsid w:val="002B6965"/>
    <w:rsid w:val="002C00CF"/>
    <w:rsid w:val="002C0227"/>
    <w:rsid w:val="002C045E"/>
    <w:rsid w:val="002C06E7"/>
    <w:rsid w:val="002C070D"/>
    <w:rsid w:val="002C099F"/>
    <w:rsid w:val="002C1CCE"/>
    <w:rsid w:val="002C1F6E"/>
    <w:rsid w:val="002C20EB"/>
    <w:rsid w:val="002C2854"/>
    <w:rsid w:val="002C2A71"/>
    <w:rsid w:val="002C2BBD"/>
    <w:rsid w:val="002C3B9E"/>
    <w:rsid w:val="002C3DC8"/>
    <w:rsid w:val="002C3E4D"/>
    <w:rsid w:val="002C40C1"/>
    <w:rsid w:val="002C437D"/>
    <w:rsid w:val="002C54FB"/>
    <w:rsid w:val="002C56F6"/>
    <w:rsid w:val="002C58D0"/>
    <w:rsid w:val="002C5CA4"/>
    <w:rsid w:val="002C5F75"/>
    <w:rsid w:val="002C72F3"/>
    <w:rsid w:val="002C79F8"/>
    <w:rsid w:val="002D039A"/>
    <w:rsid w:val="002D0429"/>
    <w:rsid w:val="002D084E"/>
    <w:rsid w:val="002D0857"/>
    <w:rsid w:val="002D0961"/>
    <w:rsid w:val="002D0ADC"/>
    <w:rsid w:val="002D0D1B"/>
    <w:rsid w:val="002D0F99"/>
    <w:rsid w:val="002D1185"/>
    <w:rsid w:val="002D1873"/>
    <w:rsid w:val="002D1C72"/>
    <w:rsid w:val="002D2416"/>
    <w:rsid w:val="002D2B36"/>
    <w:rsid w:val="002D2E01"/>
    <w:rsid w:val="002D3124"/>
    <w:rsid w:val="002D339F"/>
    <w:rsid w:val="002D4820"/>
    <w:rsid w:val="002D4AFF"/>
    <w:rsid w:val="002D5655"/>
    <w:rsid w:val="002D62CF"/>
    <w:rsid w:val="002D6D5E"/>
    <w:rsid w:val="002D6E43"/>
    <w:rsid w:val="002D6EE8"/>
    <w:rsid w:val="002D7541"/>
    <w:rsid w:val="002E01BC"/>
    <w:rsid w:val="002E01C5"/>
    <w:rsid w:val="002E1DB0"/>
    <w:rsid w:val="002E2813"/>
    <w:rsid w:val="002E2C7B"/>
    <w:rsid w:val="002E3759"/>
    <w:rsid w:val="002E4419"/>
    <w:rsid w:val="002E4FAC"/>
    <w:rsid w:val="002E5591"/>
    <w:rsid w:val="002E5BDD"/>
    <w:rsid w:val="002E6152"/>
    <w:rsid w:val="002E68B3"/>
    <w:rsid w:val="002E6E00"/>
    <w:rsid w:val="002E7001"/>
    <w:rsid w:val="002E7A63"/>
    <w:rsid w:val="002F02E4"/>
    <w:rsid w:val="002F0644"/>
    <w:rsid w:val="002F0B6F"/>
    <w:rsid w:val="002F0D63"/>
    <w:rsid w:val="002F0F4C"/>
    <w:rsid w:val="002F0F7C"/>
    <w:rsid w:val="002F0FA4"/>
    <w:rsid w:val="002F1399"/>
    <w:rsid w:val="002F17EF"/>
    <w:rsid w:val="002F1CCF"/>
    <w:rsid w:val="002F28B7"/>
    <w:rsid w:val="002F3367"/>
    <w:rsid w:val="002F34FF"/>
    <w:rsid w:val="002F3691"/>
    <w:rsid w:val="002F3716"/>
    <w:rsid w:val="002F3FB5"/>
    <w:rsid w:val="002F419E"/>
    <w:rsid w:val="002F4725"/>
    <w:rsid w:val="002F4FD3"/>
    <w:rsid w:val="002F52D1"/>
    <w:rsid w:val="002F5783"/>
    <w:rsid w:val="002F5969"/>
    <w:rsid w:val="002F5AF0"/>
    <w:rsid w:val="002F5EAC"/>
    <w:rsid w:val="002F5ED2"/>
    <w:rsid w:val="002F672D"/>
    <w:rsid w:val="002F7600"/>
    <w:rsid w:val="002F779D"/>
    <w:rsid w:val="002F79EF"/>
    <w:rsid w:val="002F7A6A"/>
    <w:rsid w:val="00300220"/>
    <w:rsid w:val="0030037C"/>
    <w:rsid w:val="00300A0A"/>
    <w:rsid w:val="00300E98"/>
    <w:rsid w:val="00301E23"/>
    <w:rsid w:val="00302840"/>
    <w:rsid w:val="003028BC"/>
    <w:rsid w:val="0030290E"/>
    <w:rsid w:val="0030310D"/>
    <w:rsid w:val="00303A03"/>
    <w:rsid w:val="00303E83"/>
    <w:rsid w:val="0030490B"/>
    <w:rsid w:val="003056BC"/>
    <w:rsid w:val="0030633F"/>
    <w:rsid w:val="0030635E"/>
    <w:rsid w:val="00306F1E"/>
    <w:rsid w:val="00307092"/>
    <w:rsid w:val="0030772C"/>
    <w:rsid w:val="00307EC7"/>
    <w:rsid w:val="003105FB"/>
    <w:rsid w:val="00310621"/>
    <w:rsid w:val="0031073D"/>
    <w:rsid w:val="003109FE"/>
    <w:rsid w:val="00310C4C"/>
    <w:rsid w:val="003117C2"/>
    <w:rsid w:val="00311EFA"/>
    <w:rsid w:val="00312037"/>
    <w:rsid w:val="003123E0"/>
    <w:rsid w:val="00312857"/>
    <w:rsid w:val="00312C2D"/>
    <w:rsid w:val="00313145"/>
    <w:rsid w:val="0031319F"/>
    <w:rsid w:val="00313219"/>
    <w:rsid w:val="00313348"/>
    <w:rsid w:val="00314B36"/>
    <w:rsid w:val="00314B9F"/>
    <w:rsid w:val="003153F2"/>
    <w:rsid w:val="0031548C"/>
    <w:rsid w:val="0031550A"/>
    <w:rsid w:val="0031588D"/>
    <w:rsid w:val="00315C1E"/>
    <w:rsid w:val="00317B1F"/>
    <w:rsid w:val="00320D39"/>
    <w:rsid w:val="00322C10"/>
    <w:rsid w:val="003236CE"/>
    <w:rsid w:val="00323F25"/>
    <w:rsid w:val="00324386"/>
    <w:rsid w:val="0032444C"/>
    <w:rsid w:val="00324AAE"/>
    <w:rsid w:val="00324F53"/>
    <w:rsid w:val="00325151"/>
    <w:rsid w:val="00325473"/>
    <w:rsid w:val="00325A40"/>
    <w:rsid w:val="00325B3E"/>
    <w:rsid w:val="003260B4"/>
    <w:rsid w:val="00326D77"/>
    <w:rsid w:val="00330444"/>
    <w:rsid w:val="00330463"/>
    <w:rsid w:val="003308C8"/>
    <w:rsid w:val="00330E4F"/>
    <w:rsid w:val="00331076"/>
    <w:rsid w:val="003310F7"/>
    <w:rsid w:val="00331146"/>
    <w:rsid w:val="003314D7"/>
    <w:rsid w:val="00331F72"/>
    <w:rsid w:val="0033208B"/>
    <w:rsid w:val="003324A2"/>
    <w:rsid w:val="0033259A"/>
    <w:rsid w:val="00333277"/>
    <w:rsid w:val="00333733"/>
    <w:rsid w:val="00333931"/>
    <w:rsid w:val="00333DE8"/>
    <w:rsid w:val="003346B8"/>
    <w:rsid w:val="00334CF0"/>
    <w:rsid w:val="0033541A"/>
    <w:rsid w:val="00335550"/>
    <w:rsid w:val="00335B11"/>
    <w:rsid w:val="00335FC7"/>
    <w:rsid w:val="00336234"/>
    <w:rsid w:val="0033634E"/>
    <w:rsid w:val="0033635D"/>
    <w:rsid w:val="003365DC"/>
    <w:rsid w:val="00337243"/>
    <w:rsid w:val="00337E1C"/>
    <w:rsid w:val="0034006C"/>
    <w:rsid w:val="003400B0"/>
    <w:rsid w:val="00341FC2"/>
    <w:rsid w:val="0034296E"/>
    <w:rsid w:val="00342B3D"/>
    <w:rsid w:val="00342B57"/>
    <w:rsid w:val="00342D94"/>
    <w:rsid w:val="00343092"/>
    <w:rsid w:val="00343A1D"/>
    <w:rsid w:val="00343B28"/>
    <w:rsid w:val="00343C57"/>
    <w:rsid w:val="00343D6A"/>
    <w:rsid w:val="0034573C"/>
    <w:rsid w:val="00346A63"/>
    <w:rsid w:val="0034750A"/>
    <w:rsid w:val="003477C8"/>
    <w:rsid w:val="00347B5D"/>
    <w:rsid w:val="00347E08"/>
    <w:rsid w:val="00347E3C"/>
    <w:rsid w:val="0035011B"/>
    <w:rsid w:val="0035049B"/>
    <w:rsid w:val="003505CC"/>
    <w:rsid w:val="00350B84"/>
    <w:rsid w:val="0035186F"/>
    <w:rsid w:val="00351A47"/>
    <w:rsid w:val="003522B8"/>
    <w:rsid w:val="00352D83"/>
    <w:rsid w:val="00352FFF"/>
    <w:rsid w:val="003532B9"/>
    <w:rsid w:val="0035405B"/>
    <w:rsid w:val="003544C2"/>
    <w:rsid w:val="00354C2A"/>
    <w:rsid w:val="00355590"/>
    <w:rsid w:val="00355676"/>
    <w:rsid w:val="00355878"/>
    <w:rsid w:val="00355D0D"/>
    <w:rsid w:val="00356A1F"/>
    <w:rsid w:val="00356DBE"/>
    <w:rsid w:val="00356EAE"/>
    <w:rsid w:val="00357216"/>
    <w:rsid w:val="00357BAB"/>
    <w:rsid w:val="00357DFE"/>
    <w:rsid w:val="00361DDC"/>
    <w:rsid w:val="00362096"/>
    <w:rsid w:val="00363170"/>
    <w:rsid w:val="003631BE"/>
    <w:rsid w:val="003632D6"/>
    <w:rsid w:val="00363463"/>
    <w:rsid w:val="00363697"/>
    <w:rsid w:val="003637C4"/>
    <w:rsid w:val="0036526D"/>
    <w:rsid w:val="00365474"/>
    <w:rsid w:val="00366D82"/>
    <w:rsid w:val="00367F59"/>
    <w:rsid w:val="0037154B"/>
    <w:rsid w:val="0037213E"/>
    <w:rsid w:val="00372B40"/>
    <w:rsid w:val="0037307C"/>
    <w:rsid w:val="003734A2"/>
    <w:rsid w:val="003737B8"/>
    <w:rsid w:val="00374D8E"/>
    <w:rsid w:val="003757FD"/>
    <w:rsid w:val="00376059"/>
    <w:rsid w:val="00376613"/>
    <w:rsid w:val="00377175"/>
    <w:rsid w:val="0037744C"/>
    <w:rsid w:val="00380456"/>
    <w:rsid w:val="0038079E"/>
    <w:rsid w:val="00380AE0"/>
    <w:rsid w:val="003810AD"/>
    <w:rsid w:val="00381C83"/>
    <w:rsid w:val="00381F24"/>
    <w:rsid w:val="003827F6"/>
    <w:rsid w:val="00382924"/>
    <w:rsid w:val="00383384"/>
    <w:rsid w:val="003851AC"/>
    <w:rsid w:val="00385613"/>
    <w:rsid w:val="003856E9"/>
    <w:rsid w:val="00386092"/>
    <w:rsid w:val="00386154"/>
    <w:rsid w:val="00386599"/>
    <w:rsid w:val="00386C8B"/>
    <w:rsid w:val="00386D28"/>
    <w:rsid w:val="00386F66"/>
    <w:rsid w:val="0038742F"/>
    <w:rsid w:val="003876EE"/>
    <w:rsid w:val="00387AEC"/>
    <w:rsid w:val="00387BB5"/>
    <w:rsid w:val="003900A2"/>
    <w:rsid w:val="003907B7"/>
    <w:rsid w:val="003911EC"/>
    <w:rsid w:val="00391AF8"/>
    <w:rsid w:val="00391DDB"/>
    <w:rsid w:val="00393B05"/>
    <w:rsid w:val="00394181"/>
    <w:rsid w:val="003941BF"/>
    <w:rsid w:val="00394C1B"/>
    <w:rsid w:val="00394DB5"/>
    <w:rsid w:val="00394E9A"/>
    <w:rsid w:val="00395112"/>
    <w:rsid w:val="00395922"/>
    <w:rsid w:val="003959B4"/>
    <w:rsid w:val="00395A42"/>
    <w:rsid w:val="00395D7E"/>
    <w:rsid w:val="00395E08"/>
    <w:rsid w:val="0039615C"/>
    <w:rsid w:val="00396235"/>
    <w:rsid w:val="0039631B"/>
    <w:rsid w:val="00396A0A"/>
    <w:rsid w:val="00396EEE"/>
    <w:rsid w:val="00397011"/>
    <w:rsid w:val="003A0482"/>
    <w:rsid w:val="003A079E"/>
    <w:rsid w:val="003A0AB4"/>
    <w:rsid w:val="003A0E9D"/>
    <w:rsid w:val="003A12FB"/>
    <w:rsid w:val="003A1749"/>
    <w:rsid w:val="003A1878"/>
    <w:rsid w:val="003A1C85"/>
    <w:rsid w:val="003A20CA"/>
    <w:rsid w:val="003A21C2"/>
    <w:rsid w:val="003A27D6"/>
    <w:rsid w:val="003A2F67"/>
    <w:rsid w:val="003A3113"/>
    <w:rsid w:val="003A317B"/>
    <w:rsid w:val="003A35A5"/>
    <w:rsid w:val="003A399A"/>
    <w:rsid w:val="003A4A4C"/>
    <w:rsid w:val="003A4A91"/>
    <w:rsid w:val="003A4B20"/>
    <w:rsid w:val="003A4C62"/>
    <w:rsid w:val="003A4F3E"/>
    <w:rsid w:val="003A5044"/>
    <w:rsid w:val="003A5CAF"/>
    <w:rsid w:val="003A71AE"/>
    <w:rsid w:val="003A7339"/>
    <w:rsid w:val="003A76C5"/>
    <w:rsid w:val="003A78E6"/>
    <w:rsid w:val="003A7B80"/>
    <w:rsid w:val="003A7BB4"/>
    <w:rsid w:val="003A7E2B"/>
    <w:rsid w:val="003A7E50"/>
    <w:rsid w:val="003B0210"/>
    <w:rsid w:val="003B02C6"/>
    <w:rsid w:val="003B05DC"/>
    <w:rsid w:val="003B0870"/>
    <w:rsid w:val="003B0D42"/>
    <w:rsid w:val="003B1806"/>
    <w:rsid w:val="003B1CC5"/>
    <w:rsid w:val="003B1E53"/>
    <w:rsid w:val="003B1F91"/>
    <w:rsid w:val="003B31FC"/>
    <w:rsid w:val="003B386D"/>
    <w:rsid w:val="003B4004"/>
    <w:rsid w:val="003B4253"/>
    <w:rsid w:val="003B4B72"/>
    <w:rsid w:val="003B4BCD"/>
    <w:rsid w:val="003B5F36"/>
    <w:rsid w:val="003B60A7"/>
    <w:rsid w:val="003B6550"/>
    <w:rsid w:val="003B6F58"/>
    <w:rsid w:val="003B7A3C"/>
    <w:rsid w:val="003C0274"/>
    <w:rsid w:val="003C03CF"/>
    <w:rsid w:val="003C0452"/>
    <w:rsid w:val="003C1496"/>
    <w:rsid w:val="003C16A6"/>
    <w:rsid w:val="003C17C0"/>
    <w:rsid w:val="003C1FFB"/>
    <w:rsid w:val="003C2A4B"/>
    <w:rsid w:val="003C30CC"/>
    <w:rsid w:val="003C3233"/>
    <w:rsid w:val="003C370D"/>
    <w:rsid w:val="003C3FA3"/>
    <w:rsid w:val="003C3FBE"/>
    <w:rsid w:val="003C418C"/>
    <w:rsid w:val="003C4410"/>
    <w:rsid w:val="003C54BD"/>
    <w:rsid w:val="003C5540"/>
    <w:rsid w:val="003C5F5C"/>
    <w:rsid w:val="003C609E"/>
    <w:rsid w:val="003C6682"/>
    <w:rsid w:val="003C6A76"/>
    <w:rsid w:val="003C6C41"/>
    <w:rsid w:val="003C6D3F"/>
    <w:rsid w:val="003C71D3"/>
    <w:rsid w:val="003C7591"/>
    <w:rsid w:val="003C7FC9"/>
    <w:rsid w:val="003D0810"/>
    <w:rsid w:val="003D1657"/>
    <w:rsid w:val="003D1B74"/>
    <w:rsid w:val="003D1CA5"/>
    <w:rsid w:val="003D1EBC"/>
    <w:rsid w:val="003D220F"/>
    <w:rsid w:val="003D2982"/>
    <w:rsid w:val="003D3993"/>
    <w:rsid w:val="003D3D19"/>
    <w:rsid w:val="003D51F7"/>
    <w:rsid w:val="003D58C6"/>
    <w:rsid w:val="003D59E5"/>
    <w:rsid w:val="003D5FB9"/>
    <w:rsid w:val="003D6E8A"/>
    <w:rsid w:val="003D7A09"/>
    <w:rsid w:val="003D7A2E"/>
    <w:rsid w:val="003D7CD5"/>
    <w:rsid w:val="003E087F"/>
    <w:rsid w:val="003E0B62"/>
    <w:rsid w:val="003E114A"/>
    <w:rsid w:val="003E19A5"/>
    <w:rsid w:val="003E1BAD"/>
    <w:rsid w:val="003E1F8D"/>
    <w:rsid w:val="003E1F90"/>
    <w:rsid w:val="003E27C4"/>
    <w:rsid w:val="003E2B3B"/>
    <w:rsid w:val="003E3698"/>
    <w:rsid w:val="003E3869"/>
    <w:rsid w:val="003E3974"/>
    <w:rsid w:val="003E4641"/>
    <w:rsid w:val="003E4925"/>
    <w:rsid w:val="003E4974"/>
    <w:rsid w:val="003E5927"/>
    <w:rsid w:val="003E59D5"/>
    <w:rsid w:val="003E5AFB"/>
    <w:rsid w:val="003E5CB0"/>
    <w:rsid w:val="003E620A"/>
    <w:rsid w:val="003E6B4C"/>
    <w:rsid w:val="003E7754"/>
    <w:rsid w:val="003F0BC3"/>
    <w:rsid w:val="003F0BFB"/>
    <w:rsid w:val="003F0F31"/>
    <w:rsid w:val="003F1665"/>
    <w:rsid w:val="003F17E8"/>
    <w:rsid w:val="003F2AE7"/>
    <w:rsid w:val="003F2EE1"/>
    <w:rsid w:val="003F30B1"/>
    <w:rsid w:val="003F30EF"/>
    <w:rsid w:val="003F3DA5"/>
    <w:rsid w:val="003F3E59"/>
    <w:rsid w:val="003F4092"/>
    <w:rsid w:val="003F458C"/>
    <w:rsid w:val="003F4B00"/>
    <w:rsid w:val="003F4BAA"/>
    <w:rsid w:val="003F5207"/>
    <w:rsid w:val="003F5C5D"/>
    <w:rsid w:val="003F5CAD"/>
    <w:rsid w:val="003F61E9"/>
    <w:rsid w:val="003F6B5F"/>
    <w:rsid w:val="003F6E79"/>
    <w:rsid w:val="003F737A"/>
    <w:rsid w:val="003F78C1"/>
    <w:rsid w:val="0040050E"/>
    <w:rsid w:val="004012C8"/>
    <w:rsid w:val="00401DB2"/>
    <w:rsid w:val="00401DBC"/>
    <w:rsid w:val="00401FC6"/>
    <w:rsid w:val="00402591"/>
    <w:rsid w:val="00402AEF"/>
    <w:rsid w:val="00402D81"/>
    <w:rsid w:val="00402DED"/>
    <w:rsid w:val="00402FC4"/>
    <w:rsid w:val="0040385F"/>
    <w:rsid w:val="00404067"/>
    <w:rsid w:val="00404580"/>
    <w:rsid w:val="004049F6"/>
    <w:rsid w:val="00405566"/>
    <w:rsid w:val="0040579A"/>
    <w:rsid w:val="004059FA"/>
    <w:rsid w:val="0040607A"/>
    <w:rsid w:val="004060EC"/>
    <w:rsid w:val="0040644A"/>
    <w:rsid w:val="004072CE"/>
    <w:rsid w:val="004078BA"/>
    <w:rsid w:val="00407AC0"/>
    <w:rsid w:val="00407D9F"/>
    <w:rsid w:val="004108A3"/>
    <w:rsid w:val="00410B5C"/>
    <w:rsid w:val="00411E38"/>
    <w:rsid w:val="004122C8"/>
    <w:rsid w:val="00412A1F"/>
    <w:rsid w:val="00412C6D"/>
    <w:rsid w:val="00412DEE"/>
    <w:rsid w:val="00413C96"/>
    <w:rsid w:val="00414399"/>
    <w:rsid w:val="0041485D"/>
    <w:rsid w:val="00414D57"/>
    <w:rsid w:val="004150B6"/>
    <w:rsid w:val="00415AC3"/>
    <w:rsid w:val="00415B69"/>
    <w:rsid w:val="00415DB8"/>
    <w:rsid w:val="00416549"/>
    <w:rsid w:val="00416A7D"/>
    <w:rsid w:val="0041721E"/>
    <w:rsid w:val="0041752F"/>
    <w:rsid w:val="00417751"/>
    <w:rsid w:val="004179C0"/>
    <w:rsid w:val="00417BE5"/>
    <w:rsid w:val="00420391"/>
    <w:rsid w:val="00420DC0"/>
    <w:rsid w:val="00420F41"/>
    <w:rsid w:val="004210F5"/>
    <w:rsid w:val="00421425"/>
    <w:rsid w:val="0042243C"/>
    <w:rsid w:val="004227A8"/>
    <w:rsid w:val="0042353D"/>
    <w:rsid w:val="004237DF"/>
    <w:rsid w:val="0042405E"/>
    <w:rsid w:val="004247F8"/>
    <w:rsid w:val="00424906"/>
    <w:rsid w:val="00424E67"/>
    <w:rsid w:val="004256B2"/>
    <w:rsid w:val="00425A9E"/>
    <w:rsid w:val="00426BDC"/>
    <w:rsid w:val="00427CF4"/>
    <w:rsid w:val="004300B9"/>
    <w:rsid w:val="004303F4"/>
    <w:rsid w:val="00432125"/>
    <w:rsid w:val="00432146"/>
    <w:rsid w:val="00432C84"/>
    <w:rsid w:val="0043355B"/>
    <w:rsid w:val="004336B3"/>
    <w:rsid w:val="004341E8"/>
    <w:rsid w:val="004341F4"/>
    <w:rsid w:val="00434B1A"/>
    <w:rsid w:val="00434BD1"/>
    <w:rsid w:val="00434EF7"/>
    <w:rsid w:val="00435D13"/>
    <w:rsid w:val="00436066"/>
    <w:rsid w:val="00437894"/>
    <w:rsid w:val="00440881"/>
    <w:rsid w:val="00440D28"/>
    <w:rsid w:val="00441098"/>
    <w:rsid w:val="00441C63"/>
    <w:rsid w:val="00441ED5"/>
    <w:rsid w:val="00442125"/>
    <w:rsid w:val="004426D6"/>
    <w:rsid w:val="004432FF"/>
    <w:rsid w:val="0044348B"/>
    <w:rsid w:val="0044422D"/>
    <w:rsid w:val="0044524A"/>
    <w:rsid w:val="00445624"/>
    <w:rsid w:val="004459DA"/>
    <w:rsid w:val="00445D3F"/>
    <w:rsid w:val="004461E5"/>
    <w:rsid w:val="00446804"/>
    <w:rsid w:val="004474C3"/>
    <w:rsid w:val="004475D2"/>
    <w:rsid w:val="004476FD"/>
    <w:rsid w:val="004479F5"/>
    <w:rsid w:val="004502D3"/>
    <w:rsid w:val="00450576"/>
    <w:rsid w:val="00450A50"/>
    <w:rsid w:val="00450B57"/>
    <w:rsid w:val="00450B80"/>
    <w:rsid w:val="00450CBB"/>
    <w:rsid w:val="0045170D"/>
    <w:rsid w:val="00451F58"/>
    <w:rsid w:val="00452032"/>
    <w:rsid w:val="004521A6"/>
    <w:rsid w:val="004521BC"/>
    <w:rsid w:val="004522DD"/>
    <w:rsid w:val="004529D7"/>
    <w:rsid w:val="0045312A"/>
    <w:rsid w:val="0045314E"/>
    <w:rsid w:val="0045369B"/>
    <w:rsid w:val="00453EE4"/>
    <w:rsid w:val="004542D1"/>
    <w:rsid w:val="00455778"/>
    <w:rsid w:val="004564B8"/>
    <w:rsid w:val="00460601"/>
    <w:rsid w:val="00460C17"/>
    <w:rsid w:val="00460D37"/>
    <w:rsid w:val="00461520"/>
    <w:rsid w:val="0046182B"/>
    <w:rsid w:val="004619E1"/>
    <w:rsid w:val="00461C79"/>
    <w:rsid w:val="004624FC"/>
    <w:rsid w:val="004625A3"/>
    <w:rsid w:val="00462841"/>
    <w:rsid w:val="00462D03"/>
    <w:rsid w:val="00462D40"/>
    <w:rsid w:val="00462EC4"/>
    <w:rsid w:val="00463346"/>
    <w:rsid w:val="00463505"/>
    <w:rsid w:val="0046353E"/>
    <w:rsid w:val="00463634"/>
    <w:rsid w:val="004639C3"/>
    <w:rsid w:val="00463AC6"/>
    <w:rsid w:val="00463B85"/>
    <w:rsid w:val="00464ADE"/>
    <w:rsid w:val="00466856"/>
    <w:rsid w:val="00467277"/>
    <w:rsid w:val="00467A68"/>
    <w:rsid w:val="00467C49"/>
    <w:rsid w:val="00470004"/>
    <w:rsid w:val="0047033A"/>
    <w:rsid w:val="00470445"/>
    <w:rsid w:val="00470D89"/>
    <w:rsid w:val="0047140F"/>
    <w:rsid w:val="00471B6D"/>
    <w:rsid w:val="004720B4"/>
    <w:rsid w:val="00472762"/>
    <w:rsid w:val="00472F26"/>
    <w:rsid w:val="00473BBC"/>
    <w:rsid w:val="00473BC6"/>
    <w:rsid w:val="00473D1D"/>
    <w:rsid w:val="004746BA"/>
    <w:rsid w:val="00474E68"/>
    <w:rsid w:val="00475529"/>
    <w:rsid w:val="00475C95"/>
    <w:rsid w:val="0047625A"/>
    <w:rsid w:val="00476AD6"/>
    <w:rsid w:val="0047756C"/>
    <w:rsid w:val="004778AA"/>
    <w:rsid w:val="0047791E"/>
    <w:rsid w:val="00477FAB"/>
    <w:rsid w:val="00480409"/>
    <w:rsid w:val="0048101A"/>
    <w:rsid w:val="00481399"/>
    <w:rsid w:val="00481988"/>
    <w:rsid w:val="00482263"/>
    <w:rsid w:val="00482948"/>
    <w:rsid w:val="00483193"/>
    <w:rsid w:val="004831FA"/>
    <w:rsid w:val="004834B3"/>
    <w:rsid w:val="00483551"/>
    <w:rsid w:val="004837FA"/>
    <w:rsid w:val="00483D6C"/>
    <w:rsid w:val="004844FB"/>
    <w:rsid w:val="00484E20"/>
    <w:rsid w:val="004853C5"/>
    <w:rsid w:val="004871C7"/>
    <w:rsid w:val="00487A0C"/>
    <w:rsid w:val="00487E0E"/>
    <w:rsid w:val="00487EE7"/>
    <w:rsid w:val="004904AE"/>
    <w:rsid w:val="004909B9"/>
    <w:rsid w:val="004915FE"/>
    <w:rsid w:val="00491D18"/>
    <w:rsid w:val="00491D55"/>
    <w:rsid w:val="0049274B"/>
    <w:rsid w:val="00492C0F"/>
    <w:rsid w:val="00492D5E"/>
    <w:rsid w:val="0049304F"/>
    <w:rsid w:val="00493517"/>
    <w:rsid w:val="00493AE1"/>
    <w:rsid w:val="00493C02"/>
    <w:rsid w:val="00494098"/>
    <w:rsid w:val="00494711"/>
    <w:rsid w:val="004951D1"/>
    <w:rsid w:val="0049524E"/>
    <w:rsid w:val="00495F8D"/>
    <w:rsid w:val="00496588"/>
    <w:rsid w:val="0049684B"/>
    <w:rsid w:val="0049799B"/>
    <w:rsid w:val="004A05FE"/>
    <w:rsid w:val="004A0EC8"/>
    <w:rsid w:val="004A10D1"/>
    <w:rsid w:val="004A1336"/>
    <w:rsid w:val="004A2B9B"/>
    <w:rsid w:val="004A31A0"/>
    <w:rsid w:val="004A3560"/>
    <w:rsid w:val="004A38A8"/>
    <w:rsid w:val="004A425E"/>
    <w:rsid w:val="004A4656"/>
    <w:rsid w:val="004A4A1A"/>
    <w:rsid w:val="004A4C3D"/>
    <w:rsid w:val="004A5143"/>
    <w:rsid w:val="004A5287"/>
    <w:rsid w:val="004A52FE"/>
    <w:rsid w:val="004A59AD"/>
    <w:rsid w:val="004A5E7A"/>
    <w:rsid w:val="004A6007"/>
    <w:rsid w:val="004A6DDD"/>
    <w:rsid w:val="004A77EB"/>
    <w:rsid w:val="004A7D11"/>
    <w:rsid w:val="004B01E0"/>
    <w:rsid w:val="004B045B"/>
    <w:rsid w:val="004B0C26"/>
    <w:rsid w:val="004B0C76"/>
    <w:rsid w:val="004B136E"/>
    <w:rsid w:val="004B17C2"/>
    <w:rsid w:val="004B1C97"/>
    <w:rsid w:val="004B218D"/>
    <w:rsid w:val="004B21B6"/>
    <w:rsid w:val="004B33B3"/>
    <w:rsid w:val="004B4845"/>
    <w:rsid w:val="004B4C8E"/>
    <w:rsid w:val="004B4EDF"/>
    <w:rsid w:val="004B56D7"/>
    <w:rsid w:val="004B63AF"/>
    <w:rsid w:val="004B64D9"/>
    <w:rsid w:val="004B6E37"/>
    <w:rsid w:val="004B7242"/>
    <w:rsid w:val="004B7908"/>
    <w:rsid w:val="004B7C9F"/>
    <w:rsid w:val="004C0360"/>
    <w:rsid w:val="004C0484"/>
    <w:rsid w:val="004C0A54"/>
    <w:rsid w:val="004C0D39"/>
    <w:rsid w:val="004C11B5"/>
    <w:rsid w:val="004C13C5"/>
    <w:rsid w:val="004C17CA"/>
    <w:rsid w:val="004C1851"/>
    <w:rsid w:val="004C1C33"/>
    <w:rsid w:val="004C225C"/>
    <w:rsid w:val="004C30D6"/>
    <w:rsid w:val="004C31DC"/>
    <w:rsid w:val="004C34C7"/>
    <w:rsid w:val="004C35B0"/>
    <w:rsid w:val="004C387D"/>
    <w:rsid w:val="004C38D5"/>
    <w:rsid w:val="004C3C78"/>
    <w:rsid w:val="004C4AC7"/>
    <w:rsid w:val="004C4D58"/>
    <w:rsid w:val="004C51F7"/>
    <w:rsid w:val="004C5203"/>
    <w:rsid w:val="004C576C"/>
    <w:rsid w:val="004C5AD6"/>
    <w:rsid w:val="004C6489"/>
    <w:rsid w:val="004C6685"/>
    <w:rsid w:val="004C66A4"/>
    <w:rsid w:val="004C6719"/>
    <w:rsid w:val="004C6878"/>
    <w:rsid w:val="004C6AC3"/>
    <w:rsid w:val="004C7BB9"/>
    <w:rsid w:val="004D08B0"/>
    <w:rsid w:val="004D13D6"/>
    <w:rsid w:val="004D16E5"/>
    <w:rsid w:val="004D175D"/>
    <w:rsid w:val="004D254C"/>
    <w:rsid w:val="004D2AC4"/>
    <w:rsid w:val="004D3717"/>
    <w:rsid w:val="004D3993"/>
    <w:rsid w:val="004D3B02"/>
    <w:rsid w:val="004D3D7F"/>
    <w:rsid w:val="004D3DEF"/>
    <w:rsid w:val="004D4007"/>
    <w:rsid w:val="004D4C0A"/>
    <w:rsid w:val="004D502B"/>
    <w:rsid w:val="004D53FF"/>
    <w:rsid w:val="004D56E0"/>
    <w:rsid w:val="004D5FCB"/>
    <w:rsid w:val="004D6F30"/>
    <w:rsid w:val="004D78FC"/>
    <w:rsid w:val="004D7B18"/>
    <w:rsid w:val="004E093D"/>
    <w:rsid w:val="004E0B98"/>
    <w:rsid w:val="004E160B"/>
    <w:rsid w:val="004E18F5"/>
    <w:rsid w:val="004E242A"/>
    <w:rsid w:val="004E2BB6"/>
    <w:rsid w:val="004E2BBD"/>
    <w:rsid w:val="004E32CA"/>
    <w:rsid w:val="004E335C"/>
    <w:rsid w:val="004E422C"/>
    <w:rsid w:val="004E45D8"/>
    <w:rsid w:val="004E4E9E"/>
    <w:rsid w:val="004E508B"/>
    <w:rsid w:val="004E54EE"/>
    <w:rsid w:val="004E5C1C"/>
    <w:rsid w:val="004E6513"/>
    <w:rsid w:val="004E666B"/>
    <w:rsid w:val="004E67E6"/>
    <w:rsid w:val="004E67F5"/>
    <w:rsid w:val="004E68FB"/>
    <w:rsid w:val="004E7453"/>
    <w:rsid w:val="004F033F"/>
    <w:rsid w:val="004F0B13"/>
    <w:rsid w:val="004F0D6A"/>
    <w:rsid w:val="004F0E42"/>
    <w:rsid w:val="004F152D"/>
    <w:rsid w:val="004F1C99"/>
    <w:rsid w:val="004F1F8D"/>
    <w:rsid w:val="004F2599"/>
    <w:rsid w:val="004F276E"/>
    <w:rsid w:val="004F2E95"/>
    <w:rsid w:val="004F31A3"/>
    <w:rsid w:val="004F3720"/>
    <w:rsid w:val="004F3959"/>
    <w:rsid w:val="004F3B5F"/>
    <w:rsid w:val="004F3F14"/>
    <w:rsid w:val="004F3F59"/>
    <w:rsid w:val="004F40A3"/>
    <w:rsid w:val="004F4766"/>
    <w:rsid w:val="004F47D2"/>
    <w:rsid w:val="004F495F"/>
    <w:rsid w:val="004F4B28"/>
    <w:rsid w:val="004F5443"/>
    <w:rsid w:val="004F7596"/>
    <w:rsid w:val="004F76AB"/>
    <w:rsid w:val="004F7BBB"/>
    <w:rsid w:val="00500136"/>
    <w:rsid w:val="00500464"/>
    <w:rsid w:val="00500C2F"/>
    <w:rsid w:val="00500F47"/>
    <w:rsid w:val="0050195D"/>
    <w:rsid w:val="00501B7E"/>
    <w:rsid w:val="00501DEC"/>
    <w:rsid w:val="00501EEE"/>
    <w:rsid w:val="005023F2"/>
    <w:rsid w:val="005025B4"/>
    <w:rsid w:val="00502666"/>
    <w:rsid w:val="005029C7"/>
    <w:rsid w:val="00502AAD"/>
    <w:rsid w:val="00502B03"/>
    <w:rsid w:val="00502D8D"/>
    <w:rsid w:val="00503EBE"/>
    <w:rsid w:val="00504051"/>
    <w:rsid w:val="0050410A"/>
    <w:rsid w:val="00504727"/>
    <w:rsid w:val="005047F7"/>
    <w:rsid w:val="005049B3"/>
    <w:rsid w:val="00504EE2"/>
    <w:rsid w:val="005050F1"/>
    <w:rsid w:val="00505D0C"/>
    <w:rsid w:val="0050619E"/>
    <w:rsid w:val="00506850"/>
    <w:rsid w:val="005075AC"/>
    <w:rsid w:val="005107D9"/>
    <w:rsid w:val="0051108F"/>
    <w:rsid w:val="0051306C"/>
    <w:rsid w:val="005136FB"/>
    <w:rsid w:val="00513781"/>
    <w:rsid w:val="00513EBE"/>
    <w:rsid w:val="005146CE"/>
    <w:rsid w:val="00514E49"/>
    <w:rsid w:val="005158DE"/>
    <w:rsid w:val="00515AAD"/>
    <w:rsid w:val="00517F03"/>
    <w:rsid w:val="00520F98"/>
    <w:rsid w:val="005215C7"/>
    <w:rsid w:val="00521EE7"/>
    <w:rsid w:val="00522360"/>
    <w:rsid w:val="005227F0"/>
    <w:rsid w:val="00522CC8"/>
    <w:rsid w:val="00523778"/>
    <w:rsid w:val="00523A9F"/>
    <w:rsid w:val="00523EC8"/>
    <w:rsid w:val="00524464"/>
    <w:rsid w:val="0052469F"/>
    <w:rsid w:val="005247F6"/>
    <w:rsid w:val="00524E21"/>
    <w:rsid w:val="00526CFD"/>
    <w:rsid w:val="0052726E"/>
    <w:rsid w:val="00527ABD"/>
    <w:rsid w:val="00527C82"/>
    <w:rsid w:val="0053012D"/>
    <w:rsid w:val="0053022B"/>
    <w:rsid w:val="00530880"/>
    <w:rsid w:val="00530EDF"/>
    <w:rsid w:val="005313DA"/>
    <w:rsid w:val="00531729"/>
    <w:rsid w:val="0053252C"/>
    <w:rsid w:val="005326BB"/>
    <w:rsid w:val="005327EE"/>
    <w:rsid w:val="00532861"/>
    <w:rsid w:val="00532864"/>
    <w:rsid w:val="00532948"/>
    <w:rsid w:val="00533679"/>
    <w:rsid w:val="0053392D"/>
    <w:rsid w:val="00534372"/>
    <w:rsid w:val="00534505"/>
    <w:rsid w:val="00534F5E"/>
    <w:rsid w:val="0053537E"/>
    <w:rsid w:val="005355DC"/>
    <w:rsid w:val="00535F42"/>
    <w:rsid w:val="00536428"/>
    <w:rsid w:val="00536556"/>
    <w:rsid w:val="00536760"/>
    <w:rsid w:val="00537082"/>
    <w:rsid w:val="0053712E"/>
    <w:rsid w:val="005418A1"/>
    <w:rsid w:val="00541C9B"/>
    <w:rsid w:val="00541D49"/>
    <w:rsid w:val="00542153"/>
    <w:rsid w:val="005421A0"/>
    <w:rsid w:val="005425D3"/>
    <w:rsid w:val="0054301C"/>
    <w:rsid w:val="0054399E"/>
    <w:rsid w:val="005439AA"/>
    <w:rsid w:val="0054423F"/>
    <w:rsid w:val="005442CC"/>
    <w:rsid w:val="005445CF"/>
    <w:rsid w:val="0054479A"/>
    <w:rsid w:val="00545342"/>
    <w:rsid w:val="00546668"/>
    <w:rsid w:val="005468D1"/>
    <w:rsid w:val="00546CF0"/>
    <w:rsid w:val="00546E1C"/>
    <w:rsid w:val="00547433"/>
    <w:rsid w:val="0054776D"/>
    <w:rsid w:val="0054785D"/>
    <w:rsid w:val="005508B8"/>
    <w:rsid w:val="00550D35"/>
    <w:rsid w:val="00550E2C"/>
    <w:rsid w:val="00551ED9"/>
    <w:rsid w:val="005526EF"/>
    <w:rsid w:val="0055299A"/>
    <w:rsid w:val="0055305B"/>
    <w:rsid w:val="00553EFB"/>
    <w:rsid w:val="005547F3"/>
    <w:rsid w:val="00554A83"/>
    <w:rsid w:val="00555094"/>
    <w:rsid w:val="005550FE"/>
    <w:rsid w:val="00555932"/>
    <w:rsid w:val="005559D6"/>
    <w:rsid w:val="005564A6"/>
    <w:rsid w:val="005565FD"/>
    <w:rsid w:val="00556732"/>
    <w:rsid w:val="00556AAD"/>
    <w:rsid w:val="00556DF3"/>
    <w:rsid w:val="00556E3D"/>
    <w:rsid w:val="00560062"/>
    <w:rsid w:val="0056015D"/>
    <w:rsid w:val="00561519"/>
    <w:rsid w:val="0056160D"/>
    <w:rsid w:val="00561696"/>
    <w:rsid w:val="00561B75"/>
    <w:rsid w:val="00561E9F"/>
    <w:rsid w:val="00561FC6"/>
    <w:rsid w:val="00562B3C"/>
    <w:rsid w:val="00563036"/>
    <w:rsid w:val="00563792"/>
    <w:rsid w:val="00563A7A"/>
    <w:rsid w:val="00563DA0"/>
    <w:rsid w:val="00563E97"/>
    <w:rsid w:val="00564021"/>
    <w:rsid w:val="0056442A"/>
    <w:rsid w:val="00564A97"/>
    <w:rsid w:val="00564F55"/>
    <w:rsid w:val="00565333"/>
    <w:rsid w:val="00566245"/>
    <w:rsid w:val="00566BC4"/>
    <w:rsid w:val="0056716C"/>
    <w:rsid w:val="00567329"/>
    <w:rsid w:val="005679B0"/>
    <w:rsid w:val="005679CA"/>
    <w:rsid w:val="00567B31"/>
    <w:rsid w:val="00570214"/>
    <w:rsid w:val="00570CD2"/>
    <w:rsid w:val="00571000"/>
    <w:rsid w:val="005711C9"/>
    <w:rsid w:val="00571247"/>
    <w:rsid w:val="00572351"/>
    <w:rsid w:val="00572897"/>
    <w:rsid w:val="00572B41"/>
    <w:rsid w:val="005733B8"/>
    <w:rsid w:val="0057394F"/>
    <w:rsid w:val="00574249"/>
    <w:rsid w:val="00574250"/>
    <w:rsid w:val="00575178"/>
    <w:rsid w:val="005758B2"/>
    <w:rsid w:val="00575A1C"/>
    <w:rsid w:val="00576076"/>
    <w:rsid w:val="00576210"/>
    <w:rsid w:val="00576B36"/>
    <w:rsid w:val="00577017"/>
    <w:rsid w:val="0057706F"/>
    <w:rsid w:val="005772AD"/>
    <w:rsid w:val="0057730B"/>
    <w:rsid w:val="00577816"/>
    <w:rsid w:val="00580657"/>
    <w:rsid w:val="00580BF3"/>
    <w:rsid w:val="0058149C"/>
    <w:rsid w:val="00581ABC"/>
    <w:rsid w:val="005821A3"/>
    <w:rsid w:val="00582689"/>
    <w:rsid w:val="00582E4C"/>
    <w:rsid w:val="00583195"/>
    <w:rsid w:val="00583213"/>
    <w:rsid w:val="00583F62"/>
    <w:rsid w:val="00584397"/>
    <w:rsid w:val="005848EF"/>
    <w:rsid w:val="00584D40"/>
    <w:rsid w:val="00584FEB"/>
    <w:rsid w:val="005850E2"/>
    <w:rsid w:val="00585182"/>
    <w:rsid w:val="00585226"/>
    <w:rsid w:val="00585D30"/>
    <w:rsid w:val="00585D98"/>
    <w:rsid w:val="00585EB4"/>
    <w:rsid w:val="00585FAC"/>
    <w:rsid w:val="00586203"/>
    <w:rsid w:val="0058677A"/>
    <w:rsid w:val="005868E7"/>
    <w:rsid w:val="00586C0F"/>
    <w:rsid w:val="005909BB"/>
    <w:rsid w:val="00590A91"/>
    <w:rsid w:val="0059164B"/>
    <w:rsid w:val="00591A97"/>
    <w:rsid w:val="00592BB0"/>
    <w:rsid w:val="00592CE6"/>
    <w:rsid w:val="00593539"/>
    <w:rsid w:val="00594315"/>
    <w:rsid w:val="005945ED"/>
    <w:rsid w:val="00595278"/>
    <w:rsid w:val="00595FD4"/>
    <w:rsid w:val="005961C5"/>
    <w:rsid w:val="005963DE"/>
    <w:rsid w:val="005968C7"/>
    <w:rsid w:val="00597373"/>
    <w:rsid w:val="005A0623"/>
    <w:rsid w:val="005A1195"/>
    <w:rsid w:val="005A12FC"/>
    <w:rsid w:val="005A139B"/>
    <w:rsid w:val="005A157A"/>
    <w:rsid w:val="005A1CB6"/>
    <w:rsid w:val="005A2329"/>
    <w:rsid w:val="005A24EB"/>
    <w:rsid w:val="005A4708"/>
    <w:rsid w:val="005A4CBF"/>
    <w:rsid w:val="005A4CE9"/>
    <w:rsid w:val="005A53D7"/>
    <w:rsid w:val="005A53E4"/>
    <w:rsid w:val="005A5B82"/>
    <w:rsid w:val="005A5E54"/>
    <w:rsid w:val="005A65AF"/>
    <w:rsid w:val="005A6833"/>
    <w:rsid w:val="005A6F5A"/>
    <w:rsid w:val="005A7178"/>
    <w:rsid w:val="005A7FD4"/>
    <w:rsid w:val="005B0865"/>
    <w:rsid w:val="005B089F"/>
    <w:rsid w:val="005B09E9"/>
    <w:rsid w:val="005B0DCE"/>
    <w:rsid w:val="005B0E1F"/>
    <w:rsid w:val="005B1760"/>
    <w:rsid w:val="005B1DC6"/>
    <w:rsid w:val="005B20E7"/>
    <w:rsid w:val="005B275F"/>
    <w:rsid w:val="005B2C65"/>
    <w:rsid w:val="005B384C"/>
    <w:rsid w:val="005B3907"/>
    <w:rsid w:val="005B3EE4"/>
    <w:rsid w:val="005B4F87"/>
    <w:rsid w:val="005B5364"/>
    <w:rsid w:val="005B5413"/>
    <w:rsid w:val="005B5F74"/>
    <w:rsid w:val="005B63A1"/>
    <w:rsid w:val="005B6DC6"/>
    <w:rsid w:val="005B729E"/>
    <w:rsid w:val="005B7659"/>
    <w:rsid w:val="005B78FC"/>
    <w:rsid w:val="005C01C1"/>
    <w:rsid w:val="005C0747"/>
    <w:rsid w:val="005C07BA"/>
    <w:rsid w:val="005C08A5"/>
    <w:rsid w:val="005C0B4D"/>
    <w:rsid w:val="005C17DE"/>
    <w:rsid w:val="005C1B70"/>
    <w:rsid w:val="005C1C9E"/>
    <w:rsid w:val="005C23A6"/>
    <w:rsid w:val="005C2CF0"/>
    <w:rsid w:val="005C2E4D"/>
    <w:rsid w:val="005C378E"/>
    <w:rsid w:val="005C37DC"/>
    <w:rsid w:val="005C3988"/>
    <w:rsid w:val="005C3C33"/>
    <w:rsid w:val="005C3C68"/>
    <w:rsid w:val="005C3D7C"/>
    <w:rsid w:val="005C4668"/>
    <w:rsid w:val="005C467A"/>
    <w:rsid w:val="005C4D9C"/>
    <w:rsid w:val="005C4D9F"/>
    <w:rsid w:val="005C4E9F"/>
    <w:rsid w:val="005C53EF"/>
    <w:rsid w:val="005C5D75"/>
    <w:rsid w:val="005C5F4F"/>
    <w:rsid w:val="005C5F96"/>
    <w:rsid w:val="005C61A6"/>
    <w:rsid w:val="005C61B5"/>
    <w:rsid w:val="005C670F"/>
    <w:rsid w:val="005C6B60"/>
    <w:rsid w:val="005C6C5A"/>
    <w:rsid w:val="005C6DB2"/>
    <w:rsid w:val="005C7188"/>
    <w:rsid w:val="005C77A9"/>
    <w:rsid w:val="005C7924"/>
    <w:rsid w:val="005C7C31"/>
    <w:rsid w:val="005C7D4D"/>
    <w:rsid w:val="005D011A"/>
    <w:rsid w:val="005D012D"/>
    <w:rsid w:val="005D0323"/>
    <w:rsid w:val="005D0656"/>
    <w:rsid w:val="005D13D3"/>
    <w:rsid w:val="005D16E2"/>
    <w:rsid w:val="005D196A"/>
    <w:rsid w:val="005D19A1"/>
    <w:rsid w:val="005D1B6E"/>
    <w:rsid w:val="005D24EB"/>
    <w:rsid w:val="005D2748"/>
    <w:rsid w:val="005D2A13"/>
    <w:rsid w:val="005D2D48"/>
    <w:rsid w:val="005D2F6E"/>
    <w:rsid w:val="005D3043"/>
    <w:rsid w:val="005D3820"/>
    <w:rsid w:val="005D3B50"/>
    <w:rsid w:val="005D4722"/>
    <w:rsid w:val="005D4FB7"/>
    <w:rsid w:val="005D5725"/>
    <w:rsid w:val="005D58A0"/>
    <w:rsid w:val="005D626D"/>
    <w:rsid w:val="005D6D7D"/>
    <w:rsid w:val="005D734B"/>
    <w:rsid w:val="005D766C"/>
    <w:rsid w:val="005D77DF"/>
    <w:rsid w:val="005D7908"/>
    <w:rsid w:val="005D7AA8"/>
    <w:rsid w:val="005D7F0F"/>
    <w:rsid w:val="005E0FB0"/>
    <w:rsid w:val="005E1263"/>
    <w:rsid w:val="005E1D48"/>
    <w:rsid w:val="005E393F"/>
    <w:rsid w:val="005E424B"/>
    <w:rsid w:val="005E48FA"/>
    <w:rsid w:val="005E5140"/>
    <w:rsid w:val="005E5AEC"/>
    <w:rsid w:val="005E5F44"/>
    <w:rsid w:val="005E60A3"/>
    <w:rsid w:val="005E673B"/>
    <w:rsid w:val="005E6743"/>
    <w:rsid w:val="005E6A49"/>
    <w:rsid w:val="005E7AEC"/>
    <w:rsid w:val="005E7DAD"/>
    <w:rsid w:val="005F06BE"/>
    <w:rsid w:val="005F07A3"/>
    <w:rsid w:val="005F0BD6"/>
    <w:rsid w:val="005F0FF2"/>
    <w:rsid w:val="005F1D07"/>
    <w:rsid w:val="005F1FF1"/>
    <w:rsid w:val="005F2AE2"/>
    <w:rsid w:val="005F2BD1"/>
    <w:rsid w:val="005F2EF5"/>
    <w:rsid w:val="005F3093"/>
    <w:rsid w:val="005F30CE"/>
    <w:rsid w:val="005F315E"/>
    <w:rsid w:val="005F413B"/>
    <w:rsid w:val="005F4ACA"/>
    <w:rsid w:val="005F4BB6"/>
    <w:rsid w:val="005F4E2D"/>
    <w:rsid w:val="005F521C"/>
    <w:rsid w:val="005F52B3"/>
    <w:rsid w:val="005F5354"/>
    <w:rsid w:val="005F563B"/>
    <w:rsid w:val="005F5B84"/>
    <w:rsid w:val="005F6219"/>
    <w:rsid w:val="005F653F"/>
    <w:rsid w:val="005F670E"/>
    <w:rsid w:val="005F6F15"/>
    <w:rsid w:val="005F7394"/>
    <w:rsid w:val="006004E6"/>
    <w:rsid w:val="00600698"/>
    <w:rsid w:val="006007F1"/>
    <w:rsid w:val="00601223"/>
    <w:rsid w:val="00601350"/>
    <w:rsid w:val="006014FD"/>
    <w:rsid w:val="006015CF"/>
    <w:rsid w:val="006017A8"/>
    <w:rsid w:val="00601C5B"/>
    <w:rsid w:val="00602382"/>
    <w:rsid w:val="00602725"/>
    <w:rsid w:val="00603033"/>
    <w:rsid w:val="00603120"/>
    <w:rsid w:val="00603531"/>
    <w:rsid w:val="0060384D"/>
    <w:rsid w:val="00606132"/>
    <w:rsid w:val="0060640E"/>
    <w:rsid w:val="006065FE"/>
    <w:rsid w:val="00606E83"/>
    <w:rsid w:val="00606EA1"/>
    <w:rsid w:val="0060715F"/>
    <w:rsid w:val="00610EF4"/>
    <w:rsid w:val="0061111B"/>
    <w:rsid w:val="006115D3"/>
    <w:rsid w:val="006117C7"/>
    <w:rsid w:val="00611D06"/>
    <w:rsid w:val="00611D7C"/>
    <w:rsid w:val="00612A5E"/>
    <w:rsid w:val="00612B5A"/>
    <w:rsid w:val="00612BC8"/>
    <w:rsid w:val="00612CC0"/>
    <w:rsid w:val="00612DC6"/>
    <w:rsid w:val="00613746"/>
    <w:rsid w:val="00613D06"/>
    <w:rsid w:val="00613F42"/>
    <w:rsid w:val="00615005"/>
    <w:rsid w:val="00615381"/>
    <w:rsid w:val="0061546C"/>
    <w:rsid w:val="00615B38"/>
    <w:rsid w:val="00615D9F"/>
    <w:rsid w:val="00616A00"/>
    <w:rsid w:val="00616D6E"/>
    <w:rsid w:val="006178C2"/>
    <w:rsid w:val="00617DEB"/>
    <w:rsid w:val="0062008E"/>
    <w:rsid w:val="00620096"/>
    <w:rsid w:val="00620201"/>
    <w:rsid w:val="006202C3"/>
    <w:rsid w:val="006203A1"/>
    <w:rsid w:val="00620C64"/>
    <w:rsid w:val="0062189C"/>
    <w:rsid w:val="0062190F"/>
    <w:rsid w:val="00621C82"/>
    <w:rsid w:val="00621E79"/>
    <w:rsid w:val="00622046"/>
    <w:rsid w:val="00622552"/>
    <w:rsid w:val="006225B5"/>
    <w:rsid w:val="00623F68"/>
    <w:rsid w:val="006243F0"/>
    <w:rsid w:val="00624918"/>
    <w:rsid w:val="00624AD2"/>
    <w:rsid w:val="00625243"/>
    <w:rsid w:val="00625685"/>
    <w:rsid w:val="006257AB"/>
    <w:rsid w:val="0062591A"/>
    <w:rsid w:val="00625C02"/>
    <w:rsid w:val="00625C69"/>
    <w:rsid w:val="006265A7"/>
    <w:rsid w:val="00626709"/>
    <w:rsid w:val="00626739"/>
    <w:rsid w:val="00626DDA"/>
    <w:rsid w:val="00627B38"/>
    <w:rsid w:val="0063014F"/>
    <w:rsid w:val="0063018A"/>
    <w:rsid w:val="0063025E"/>
    <w:rsid w:val="00630483"/>
    <w:rsid w:val="006304CC"/>
    <w:rsid w:val="00630706"/>
    <w:rsid w:val="00631167"/>
    <w:rsid w:val="00632625"/>
    <w:rsid w:val="00632817"/>
    <w:rsid w:val="00632CBF"/>
    <w:rsid w:val="00632FDF"/>
    <w:rsid w:val="0063345E"/>
    <w:rsid w:val="0063380A"/>
    <w:rsid w:val="00633D01"/>
    <w:rsid w:val="00633EB9"/>
    <w:rsid w:val="00634913"/>
    <w:rsid w:val="006349E7"/>
    <w:rsid w:val="006353D0"/>
    <w:rsid w:val="006357F4"/>
    <w:rsid w:val="00635A22"/>
    <w:rsid w:val="00635E28"/>
    <w:rsid w:val="0063617E"/>
    <w:rsid w:val="00636450"/>
    <w:rsid w:val="0063683C"/>
    <w:rsid w:val="00636898"/>
    <w:rsid w:val="00636B4B"/>
    <w:rsid w:val="006370B7"/>
    <w:rsid w:val="00637FDE"/>
    <w:rsid w:val="006407BE"/>
    <w:rsid w:val="00640A1B"/>
    <w:rsid w:val="00640A95"/>
    <w:rsid w:val="0064145E"/>
    <w:rsid w:val="00641628"/>
    <w:rsid w:val="0064167A"/>
    <w:rsid w:val="00641727"/>
    <w:rsid w:val="0064203B"/>
    <w:rsid w:val="006422D6"/>
    <w:rsid w:val="00642461"/>
    <w:rsid w:val="006424AB"/>
    <w:rsid w:val="00642EB2"/>
    <w:rsid w:val="0064373F"/>
    <w:rsid w:val="00644895"/>
    <w:rsid w:val="00644C7D"/>
    <w:rsid w:val="00645B16"/>
    <w:rsid w:val="00645EF4"/>
    <w:rsid w:val="006466A1"/>
    <w:rsid w:val="00647146"/>
    <w:rsid w:val="00647CFB"/>
    <w:rsid w:val="00650335"/>
    <w:rsid w:val="006508C7"/>
    <w:rsid w:val="00650A66"/>
    <w:rsid w:val="0065110D"/>
    <w:rsid w:val="00651188"/>
    <w:rsid w:val="006511D9"/>
    <w:rsid w:val="006518A6"/>
    <w:rsid w:val="00652480"/>
    <w:rsid w:val="00652A84"/>
    <w:rsid w:val="00652D24"/>
    <w:rsid w:val="00652E7D"/>
    <w:rsid w:val="006533F7"/>
    <w:rsid w:val="00653574"/>
    <w:rsid w:val="00653B24"/>
    <w:rsid w:val="006545B8"/>
    <w:rsid w:val="0065475C"/>
    <w:rsid w:val="0065479A"/>
    <w:rsid w:val="0065558D"/>
    <w:rsid w:val="0065591D"/>
    <w:rsid w:val="0065596D"/>
    <w:rsid w:val="006560B9"/>
    <w:rsid w:val="006575C8"/>
    <w:rsid w:val="006578B7"/>
    <w:rsid w:val="0066043F"/>
    <w:rsid w:val="00660819"/>
    <w:rsid w:val="006610DC"/>
    <w:rsid w:val="00661F9D"/>
    <w:rsid w:val="00663780"/>
    <w:rsid w:val="00663BEE"/>
    <w:rsid w:val="00663F3A"/>
    <w:rsid w:val="00663F4C"/>
    <w:rsid w:val="00664312"/>
    <w:rsid w:val="006645CB"/>
    <w:rsid w:val="00664783"/>
    <w:rsid w:val="0066493C"/>
    <w:rsid w:val="00665187"/>
    <w:rsid w:val="006658CB"/>
    <w:rsid w:val="0066591F"/>
    <w:rsid w:val="00665CF5"/>
    <w:rsid w:val="0066660C"/>
    <w:rsid w:val="0066731D"/>
    <w:rsid w:val="00667E20"/>
    <w:rsid w:val="00667F99"/>
    <w:rsid w:val="00667FA9"/>
    <w:rsid w:val="00670A60"/>
    <w:rsid w:val="00670A9B"/>
    <w:rsid w:val="00670BBB"/>
    <w:rsid w:val="00670FBE"/>
    <w:rsid w:val="0067126F"/>
    <w:rsid w:val="006715F0"/>
    <w:rsid w:val="006716D1"/>
    <w:rsid w:val="006720A1"/>
    <w:rsid w:val="006723F6"/>
    <w:rsid w:val="006726B1"/>
    <w:rsid w:val="0067289B"/>
    <w:rsid w:val="00673F84"/>
    <w:rsid w:val="00674520"/>
    <w:rsid w:val="00674E45"/>
    <w:rsid w:val="0067503D"/>
    <w:rsid w:val="00675612"/>
    <w:rsid w:val="00675762"/>
    <w:rsid w:val="00675A33"/>
    <w:rsid w:val="00675ACF"/>
    <w:rsid w:val="00675B96"/>
    <w:rsid w:val="00676134"/>
    <w:rsid w:val="006766CF"/>
    <w:rsid w:val="00676FC6"/>
    <w:rsid w:val="00676FC9"/>
    <w:rsid w:val="0067795B"/>
    <w:rsid w:val="0067797C"/>
    <w:rsid w:val="00680105"/>
    <w:rsid w:val="00680256"/>
    <w:rsid w:val="00680ACC"/>
    <w:rsid w:val="00680CA9"/>
    <w:rsid w:val="00680E8A"/>
    <w:rsid w:val="00680FFF"/>
    <w:rsid w:val="0068148B"/>
    <w:rsid w:val="00681B79"/>
    <w:rsid w:val="00682330"/>
    <w:rsid w:val="00682580"/>
    <w:rsid w:val="006828BB"/>
    <w:rsid w:val="00682A9C"/>
    <w:rsid w:val="006838F7"/>
    <w:rsid w:val="00683EB8"/>
    <w:rsid w:val="00684666"/>
    <w:rsid w:val="00684963"/>
    <w:rsid w:val="00685451"/>
    <w:rsid w:val="00685CB6"/>
    <w:rsid w:val="00685E74"/>
    <w:rsid w:val="0068629D"/>
    <w:rsid w:val="00686581"/>
    <w:rsid w:val="00686DDF"/>
    <w:rsid w:val="0068751D"/>
    <w:rsid w:val="0068791B"/>
    <w:rsid w:val="00687A52"/>
    <w:rsid w:val="006904E2"/>
    <w:rsid w:val="006913F1"/>
    <w:rsid w:val="006919B9"/>
    <w:rsid w:val="00691BFB"/>
    <w:rsid w:val="00691FA3"/>
    <w:rsid w:val="0069265C"/>
    <w:rsid w:val="00692AED"/>
    <w:rsid w:val="0069305B"/>
    <w:rsid w:val="006933CE"/>
    <w:rsid w:val="00693402"/>
    <w:rsid w:val="006938CF"/>
    <w:rsid w:val="00693E3E"/>
    <w:rsid w:val="00694084"/>
    <w:rsid w:val="0069487A"/>
    <w:rsid w:val="00694CE8"/>
    <w:rsid w:val="00694DC3"/>
    <w:rsid w:val="00694E3B"/>
    <w:rsid w:val="00694F0E"/>
    <w:rsid w:val="0069553D"/>
    <w:rsid w:val="00695E4B"/>
    <w:rsid w:val="00695FFF"/>
    <w:rsid w:val="0069629F"/>
    <w:rsid w:val="006A0257"/>
    <w:rsid w:val="006A0382"/>
    <w:rsid w:val="006A077B"/>
    <w:rsid w:val="006A08EA"/>
    <w:rsid w:val="006A099A"/>
    <w:rsid w:val="006A0C38"/>
    <w:rsid w:val="006A0C54"/>
    <w:rsid w:val="006A1339"/>
    <w:rsid w:val="006A16B8"/>
    <w:rsid w:val="006A1FD7"/>
    <w:rsid w:val="006A24E8"/>
    <w:rsid w:val="006A26B8"/>
    <w:rsid w:val="006A2895"/>
    <w:rsid w:val="006A292F"/>
    <w:rsid w:val="006A3899"/>
    <w:rsid w:val="006A432B"/>
    <w:rsid w:val="006A4E4E"/>
    <w:rsid w:val="006A504B"/>
    <w:rsid w:val="006A53AE"/>
    <w:rsid w:val="006A53AF"/>
    <w:rsid w:val="006A560E"/>
    <w:rsid w:val="006A5787"/>
    <w:rsid w:val="006A59FE"/>
    <w:rsid w:val="006A6982"/>
    <w:rsid w:val="006A6C9E"/>
    <w:rsid w:val="006A6EFB"/>
    <w:rsid w:val="006A6F0F"/>
    <w:rsid w:val="006A71F0"/>
    <w:rsid w:val="006A752E"/>
    <w:rsid w:val="006A7D2A"/>
    <w:rsid w:val="006B019E"/>
    <w:rsid w:val="006B02C9"/>
    <w:rsid w:val="006B02F7"/>
    <w:rsid w:val="006B0A94"/>
    <w:rsid w:val="006B117C"/>
    <w:rsid w:val="006B12F0"/>
    <w:rsid w:val="006B1535"/>
    <w:rsid w:val="006B1F21"/>
    <w:rsid w:val="006B23A2"/>
    <w:rsid w:val="006B2A2F"/>
    <w:rsid w:val="006B2C62"/>
    <w:rsid w:val="006B2C90"/>
    <w:rsid w:val="006B315B"/>
    <w:rsid w:val="006B31BB"/>
    <w:rsid w:val="006B3A99"/>
    <w:rsid w:val="006B3AEE"/>
    <w:rsid w:val="006B3D49"/>
    <w:rsid w:val="006B413A"/>
    <w:rsid w:val="006B4C90"/>
    <w:rsid w:val="006B5A10"/>
    <w:rsid w:val="006B5ABC"/>
    <w:rsid w:val="006B5D8D"/>
    <w:rsid w:val="006B6D6C"/>
    <w:rsid w:val="006C0579"/>
    <w:rsid w:val="006C066C"/>
    <w:rsid w:val="006C1B85"/>
    <w:rsid w:val="006C25DE"/>
    <w:rsid w:val="006C276C"/>
    <w:rsid w:val="006C282D"/>
    <w:rsid w:val="006C2944"/>
    <w:rsid w:val="006C2A89"/>
    <w:rsid w:val="006C2D2A"/>
    <w:rsid w:val="006C372F"/>
    <w:rsid w:val="006C38E3"/>
    <w:rsid w:val="006C39AB"/>
    <w:rsid w:val="006C3FD9"/>
    <w:rsid w:val="006C43C9"/>
    <w:rsid w:val="006C455F"/>
    <w:rsid w:val="006C4769"/>
    <w:rsid w:val="006C5026"/>
    <w:rsid w:val="006C5648"/>
    <w:rsid w:val="006C5676"/>
    <w:rsid w:val="006C5C79"/>
    <w:rsid w:val="006C679E"/>
    <w:rsid w:val="006C719F"/>
    <w:rsid w:val="006C73F5"/>
    <w:rsid w:val="006C77A2"/>
    <w:rsid w:val="006C7E1D"/>
    <w:rsid w:val="006C7EC7"/>
    <w:rsid w:val="006C7FDF"/>
    <w:rsid w:val="006D0959"/>
    <w:rsid w:val="006D12E1"/>
    <w:rsid w:val="006D13C5"/>
    <w:rsid w:val="006D1740"/>
    <w:rsid w:val="006D19AC"/>
    <w:rsid w:val="006D1EEA"/>
    <w:rsid w:val="006D2B4D"/>
    <w:rsid w:val="006D35DB"/>
    <w:rsid w:val="006D3CEE"/>
    <w:rsid w:val="006D44BA"/>
    <w:rsid w:val="006D46A4"/>
    <w:rsid w:val="006D5279"/>
    <w:rsid w:val="006D52CF"/>
    <w:rsid w:val="006D53AA"/>
    <w:rsid w:val="006D5B36"/>
    <w:rsid w:val="006D5D1B"/>
    <w:rsid w:val="006D6266"/>
    <w:rsid w:val="006D66D3"/>
    <w:rsid w:val="006D6876"/>
    <w:rsid w:val="006D6C82"/>
    <w:rsid w:val="006D72F3"/>
    <w:rsid w:val="006D74E9"/>
    <w:rsid w:val="006D7CF3"/>
    <w:rsid w:val="006D7EC4"/>
    <w:rsid w:val="006E026D"/>
    <w:rsid w:val="006E03D7"/>
    <w:rsid w:val="006E0849"/>
    <w:rsid w:val="006E13D0"/>
    <w:rsid w:val="006E166C"/>
    <w:rsid w:val="006E1A44"/>
    <w:rsid w:val="006E2151"/>
    <w:rsid w:val="006E28CB"/>
    <w:rsid w:val="006E32EF"/>
    <w:rsid w:val="006E376A"/>
    <w:rsid w:val="006E3D91"/>
    <w:rsid w:val="006E3EAC"/>
    <w:rsid w:val="006E45C4"/>
    <w:rsid w:val="006E47F2"/>
    <w:rsid w:val="006E512C"/>
    <w:rsid w:val="006E5973"/>
    <w:rsid w:val="006E5F92"/>
    <w:rsid w:val="006E63C4"/>
    <w:rsid w:val="006E66EA"/>
    <w:rsid w:val="006E7100"/>
    <w:rsid w:val="006E7745"/>
    <w:rsid w:val="006F03BB"/>
    <w:rsid w:val="006F0AD1"/>
    <w:rsid w:val="006F1239"/>
    <w:rsid w:val="006F1295"/>
    <w:rsid w:val="006F17FC"/>
    <w:rsid w:val="006F1B19"/>
    <w:rsid w:val="006F1BD4"/>
    <w:rsid w:val="006F336D"/>
    <w:rsid w:val="006F33A9"/>
    <w:rsid w:val="006F3DD3"/>
    <w:rsid w:val="006F5460"/>
    <w:rsid w:val="006F5549"/>
    <w:rsid w:val="006F5706"/>
    <w:rsid w:val="006F5D1F"/>
    <w:rsid w:val="006F5F91"/>
    <w:rsid w:val="006F678C"/>
    <w:rsid w:val="006F6F54"/>
    <w:rsid w:val="006F7387"/>
    <w:rsid w:val="006F748B"/>
    <w:rsid w:val="006F751D"/>
    <w:rsid w:val="007000F9"/>
    <w:rsid w:val="00700A63"/>
    <w:rsid w:val="00701E1F"/>
    <w:rsid w:val="00702E00"/>
    <w:rsid w:val="007033A7"/>
    <w:rsid w:val="007034C1"/>
    <w:rsid w:val="0070370A"/>
    <w:rsid w:val="007041B9"/>
    <w:rsid w:val="007047DA"/>
    <w:rsid w:val="007056FA"/>
    <w:rsid w:val="007062AF"/>
    <w:rsid w:val="00706AE5"/>
    <w:rsid w:val="00707242"/>
    <w:rsid w:val="007073C3"/>
    <w:rsid w:val="007074D8"/>
    <w:rsid w:val="00707A37"/>
    <w:rsid w:val="00707A5D"/>
    <w:rsid w:val="00707E80"/>
    <w:rsid w:val="00710899"/>
    <w:rsid w:val="00710B70"/>
    <w:rsid w:val="00710C18"/>
    <w:rsid w:val="00710FC2"/>
    <w:rsid w:val="007110B3"/>
    <w:rsid w:val="00711109"/>
    <w:rsid w:val="0071136A"/>
    <w:rsid w:val="00711419"/>
    <w:rsid w:val="0071192A"/>
    <w:rsid w:val="00711C55"/>
    <w:rsid w:val="00711D25"/>
    <w:rsid w:val="00711F61"/>
    <w:rsid w:val="007125BA"/>
    <w:rsid w:val="007126D5"/>
    <w:rsid w:val="007129F8"/>
    <w:rsid w:val="00712AE6"/>
    <w:rsid w:val="00714548"/>
    <w:rsid w:val="00714989"/>
    <w:rsid w:val="00715221"/>
    <w:rsid w:val="007155BB"/>
    <w:rsid w:val="00716042"/>
    <w:rsid w:val="00716083"/>
    <w:rsid w:val="0071647D"/>
    <w:rsid w:val="00716E74"/>
    <w:rsid w:val="00717C00"/>
    <w:rsid w:val="00717E6C"/>
    <w:rsid w:val="007209DC"/>
    <w:rsid w:val="00720BB1"/>
    <w:rsid w:val="007212BD"/>
    <w:rsid w:val="00721432"/>
    <w:rsid w:val="00721687"/>
    <w:rsid w:val="00721CA2"/>
    <w:rsid w:val="00721DBA"/>
    <w:rsid w:val="00721E51"/>
    <w:rsid w:val="00721FA5"/>
    <w:rsid w:val="00722BF1"/>
    <w:rsid w:val="007231A3"/>
    <w:rsid w:val="00723393"/>
    <w:rsid w:val="00723E6F"/>
    <w:rsid w:val="00724888"/>
    <w:rsid w:val="00724ED4"/>
    <w:rsid w:val="007250A4"/>
    <w:rsid w:val="0072524F"/>
    <w:rsid w:val="007252A7"/>
    <w:rsid w:val="007252B8"/>
    <w:rsid w:val="00725C45"/>
    <w:rsid w:val="007271CC"/>
    <w:rsid w:val="007275B9"/>
    <w:rsid w:val="007307BF"/>
    <w:rsid w:val="00730D85"/>
    <w:rsid w:val="00731D2F"/>
    <w:rsid w:val="0073251C"/>
    <w:rsid w:val="007327EE"/>
    <w:rsid w:val="007334FF"/>
    <w:rsid w:val="00733A32"/>
    <w:rsid w:val="00734036"/>
    <w:rsid w:val="007351B8"/>
    <w:rsid w:val="007355DB"/>
    <w:rsid w:val="00735873"/>
    <w:rsid w:val="00735FED"/>
    <w:rsid w:val="00736716"/>
    <w:rsid w:val="007369AD"/>
    <w:rsid w:val="007370BF"/>
    <w:rsid w:val="007373B5"/>
    <w:rsid w:val="00737E9F"/>
    <w:rsid w:val="0074004A"/>
    <w:rsid w:val="0074064C"/>
    <w:rsid w:val="007407F8"/>
    <w:rsid w:val="007411AC"/>
    <w:rsid w:val="00741309"/>
    <w:rsid w:val="007416F3"/>
    <w:rsid w:val="007418DF"/>
    <w:rsid w:val="007421A2"/>
    <w:rsid w:val="0074239D"/>
    <w:rsid w:val="00742B29"/>
    <w:rsid w:val="00743450"/>
    <w:rsid w:val="007435D1"/>
    <w:rsid w:val="00743709"/>
    <w:rsid w:val="007440F0"/>
    <w:rsid w:val="00744481"/>
    <w:rsid w:val="00744C7F"/>
    <w:rsid w:val="00744ECA"/>
    <w:rsid w:val="007453D2"/>
    <w:rsid w:val="00745CFC"/>
    <w:rsid w:val="00745FC6"/>
    <w:rsid w:val="00746DA6"/>
    <w:rsid w:val="00747036"/>
    <w:rsid w:val="0074744D"/>
    <w:rsid w:val="00747999"/>
    <w:rsid w:val="007500B6"/>
    <w:rsid w:val="00751284"/>
    <w:rsid w:val="007516D4"/>
    <w:rsid w:val="007527DD"/>
    <w:rsid w:val="00752FBA"/>
    <w:rsid w:val="00753961"/>
    <w:rsid w:val="00753993"/>
    <w:rsid w:val="00753E6E"/>
    <w:rsid w:val="0075547A"/>
    <w:rsid w:val="007554A7"/>
    <w:rsid w:val="007557C5"/>
    <w:rsid w:val="00755FAD"/>
    <w:rsid w:val="00756274"/>
    <w:rsid w:val="00756597"/>
    <w:rsid w:val="0075662F"/>
    <w:rsid w:val="00756F36"/>
    <w:rsid w:val="00757142"/>
    <w:rsid w:val="007578C5"/>
    <w:rsid w:val="0076015A"/>
    <w:rsid w:val="0076083F"/>
    <w:rsid w:val="00761537"/>
    <w:rsid w:val="00761E19"/>
    <w:rsid w:val="00761F25"/>
    <w:rsid w:val="00762636"/>
    <w:rsid w:val="00762AE1"/>
    <w:rsid w:val="00762B8D"/>
    <w:rsid w:val="00762F0D"/>
    <w:rsid w:val="00763B3E"/>
    <w:rsid w:val="00763CFC"/>
    <w:rsid w:val="00765B57"/>
    <w:rsid w:val="00765CA2"/>
    <w:rsid w:val="007663B9"/>
    <w:rsid w:val="0076674E"/>
    <w:rsid w:val="00766A92"/>
    <w:rsid w:val="00767595"/>
    <w:rsid w:val="00767669"/>
    <w:rsid w:val="007678A6"/>
    <w:rsid w:val="0076790C"/>
    <w:rsid w:val="00767DB9"/>
    <w:rsid w:val="007704C1"/>
    <w:rsid w:val="00770826"/>
    <w:rsid w:val="00770918"/>
    <w:rsid w:val="00770CEE"/>
    <w:rsid w:val="007711DD"/>
    <w:rsid w:val="00771905"/>
    <w:rsid w:val="00771A62"/>
    <w:rsid w:val="00771F25"/>
    <w:rsid w:val="007725DE"/>
    <w:rsid w:val="00772792"/>
    <w:rsid w:val="00772A90"/>
    <w:rsid w:val="0077301F"/>
    <w:rsid w:val="0077321B"/>
    <w:rsid w:val="00773786"/>
    <w:rsid w:val="00773D33"/>
    <w:rsid w:val="007746DB"/>
    <w:rsid w:val="007749FA"/>
    <w:rsid w:val="00774F02"/>
    <w:rsid w:val="0077532E"/>
    <w:rsid w:val="0077538E"/>
    <w:rsid w:val="007757DE"/>
    <w:rsid w:val="0077613B"/>
    <w:rsid w:val="0077628A"/>
    <w:rsid w:val="0077635B"/>
    <w:rsid w:val="00776374"/>
    <w:rsid w:val="0077643A"/>
    <w:rsid w:val="00776519"/>
    <w:rsid w:val="0077679A"/>
    <w:rsid w:val="007767AF"/>
    <w:rsid w:val="007771BA"/>
    <w:rsid w:val="0077724E"/>
    <w:rsid w:val="00777BD0"/>
    <w:rsid w:val="007806E2"/>
    <w:rsid w:val="007807A3"/>
    <w:rsid w:val="00781516"/>
    <w:rsid w:val="007815EE"/>
    <w:rsid w:val="007821F6"/>
    <w:rsid w:val="007831DE"/>
    <w:rsid w:val="0078350E"/>
    <w:rsid w:val="00783998"/>
    <w:rsid w:val="0078430C"/>
    <w:rsid w:val="007846A4"/>
    <w:rsid w:val="007851A7"/>
    <w:rsid w:val="00785459"/>
    <w:rsid w:val="007854FA"/>
    <w:rsid w:val="00785514"/>
    <w:rsid w:val="00785EFA"/>
    <w:rsid w:val="00786E90"/>
    <w:rsid w:val="007872F9"/>
    <w:rsid w:val="00787D25"/>
    <w:rsid w:val="0079027B"/>
    <w:rsid w:val="00790CF7"/>
    <w:rsid w:val="007915D1"/>
    <w:rsid w:val="00791B64"/>
    <w:rsid w:val="00791CEE"/>
    <w:rsid w:val="007921A5"/>
    <w:rsid w:val="00792402"/>
    <w:rsid w:val="00792B2A"/>
    <w:rsid w:val="00793208"/>
    <w:rsid w:val="00793CD3"/>
    <w:rsid w:val="00793E1A"/>
    <w:rsid w:val="00793EC5"/>
    <w:rsid w:val="00794118"/>
    <w:rsid w:val="007944BD"/>
    <w:rsid w:val="00794593"/>
    <w:rsid w:val="00794EB9"/>
    <w:rsid w:val="00794EFF"/>
    <w:rsid w:val="00794FFD"/>
    <w:rsid w:val="0079517C"/>
    <w:rsid w:val="00795704"/>
    <w:rsid w:val="007958F2"/>
    <w:rsid w:val="00795DAA"/>
    <w:rsid w:val="00796935"/>
    <w:rsid w:val="00796953"/>
    <w:rsid w:val="00796AB1"/>
    <w:rsid w:val="00797A15"/>
    <w:rsid w:val="00797A8B"/>
    <w:rsid w:val="00797C80"/>
    <w:rsid w:val="00797F74"/>
    <w:rsid w:val="007A0A36"/>
    <w:rsid w:val="007A1B6A"/>
    <w:rsid w:val="007A28ED"/>
    <w:rsid w:val="007A2A2D"/>
    <w:rsid w:val="007A2A8E"/>
    <w:rsid w:val="007A31D4"/>
    <w:rsid w:val="007A39F8"/>
    <w:rsid w:val="007A3BB2"/>
    <w:rsid w:val="007A3C22"/>
    <w:rsid w:val="007A58B7"/>
    <w:rsid w:val="007A5E89"/>
    <w:rsid w:val="007A6062"/>
    <w:rsid w:val="007A6696"/>
    <w:rsid w:val="007A6D27"/>
    <w:rsid w:val="007A6E9C"/>
    <w:rsid w:val="007A6EE1"/>
    <w:rsid w:val="007A727C"/>
    <w:rsid w:val="007A7437"/>
    <w:rsid w:val="007A77C0"/>
    <w:rsid w:val="007A7DB4"/>
    <w:rsid w:val="007A7E7B"/>
    <w:rsid w:val="007A7EF7"/>
    <w:rsid w:val="007B02ED"/>
    <w:rsid w:val="007B05D0"/>
    <w:rsid w:val="007B0794"/>
    <w:rsid w:val="007B097F"/>
    <w:rsid w:val="007B18CF"/>
    <w:rsid w:val="007B2872"/>
    <w:rsid w:val="007B2E9F"/>
    <w:rsid w:val="007B2F0A"/>
    <w:rsid w:val="007B2F5F"/>
    <w:rsid w:val="007B34B1"/>
    <w:rsid w:val="007B362F"/>
    <w:rsid w:val="007B4042"/>
    <w:rsid w:val="007B41E0"/>
    <w:rsid w:val="007B44ED"/>
    <w:rsid w:val="007B4B4E"/>
    <w:rsid w:val="007B4B61"/>
    <w:rsid w:val="007B4BA6"/>
    <w:rsid w:val="007B55E7"/>
    <w:rsid w:val="007B5ED5"/>
    <w:rsid w:val="007B63F9"/>
    <w:rsid w:val="007B678A"/>
    <w:rsid w:val="007B6A66"/>
    <w:rsid w:val="007B6DB4"/>
    <w:rsid w:val="007B6F90"/>
    <w:rsid w:val="007B7855"/>
    <w:rsid w:val="007C052B"/>
    <w:rsid w:val="007C054E"/>
    <w:rsid w:val="007C0791"/>
    <w:rsid w:val="007C10B6"/>
    <w:rsid w:val="007C12CF"/>
    <w:rsid w:val="007C1855"/>
    <w:rsid w:val="007C1F64"/>
    <w:rsid w:val="007C370B"/>
    <w:rsid w:val="007C3DEE"/>
    <w:rsid w:val="007C3E0B"/>
    <w:rsid w:val="007C4215"/>
    <w:rsid w:val="007C46A9"/>
    <w:rsid w:val="007C5573"/>
    <w:rsid w:val="007C5880"/>
    <w:rsid w:val="007C6073"/>
    <w:rsid w:val="007C64D8"/>
    <w:rsid w:val="007C6572"/>
    <w:rsid w:val="007C65AA"/>
    <w:rsid w:val="007C6F49"/>
    <w:rsid w:val="007C734B"/>
    <w:rsid w:val="007C7516"/>
    <w:rsid w:val="007C79FD"/>
    <w:rsid w:val="007C7B22"/>
    <w:rsid w:val="007C7C77"/>
    <w:rsid w:val="007D0311"/>
    <w:rsid w:val="007D0CED"/>
    <w:rsid w:val="007D166F"/>
    <w:rsid w:val="007D1A54"/>
    <w:rsid w:val="007D1BFF"/>
    <w:rsid w:val="007D2389"/>
    <w:rsid w:val="007D2A5B"/>
    <w:rsid w:val="007D2D5C"/>
    <w:rsid w:val="007D40D1"/>
    <w:rsid w:val="007D5657"/>
    <w:rsid w:val="007D5973"/>
    <w:rsid w:val="007D5C93"/>
    <w:rsid w:val="007D6AC5"/>
    <w:rsid w:val="007D6D24"/>
    <w:rsid w:val="007D7092"/>
    <w:rsid w:val="007D7295"/>
    <w:rsid w:val="007D738C"/>
    <w:rsid w:val="007D75B6"/>
    <w:rsid w:val="007D763E"/>
    <w:rsid w:val="007D76FA"/>
    <w:rsid w:val="007E07E5"/>
    <w:rsid w:val="007E0E1D"/>
    <w:rsid w:val="007E1076"/>
    <w:rsid w:val="007E13D7"/>
    <w:rsid w:val="007E1D66"/>
    <w:rsid w:val="007E2492"/>
    <w:rsid w:val="007E27D9"/>
    <w:rsid w:val="007E4106"/>
    <w:rsid w:val="007E426A"/>
    <w:rsid w:val="007E43E7"/>
    <w:rsid w:val="007E46F0"/>
    <w:rsid w:val="007E4DAF"/>
    <w:rsid w:val="007E4F92"/>
    <w:rsid w:val="007E5263"/>
    <w:rsid w:val="007E559D"/>
    <w:rsid w:val="007E57CD"/>
    <w:rsid w:val="007E5E2F"/>
    <w:rsid w:val="007E621F"/>
    <w:rsid w:val="007E74D4"/>
    <w:rsid w:val="007E77DB"/>
    <w:rsid w:val="007E79CD"/>
    <w:rsid w:val="007E7EEE"/>
    <w:rsid w:val="007F0105"/>
    <w:rsid w:val="007F0287"/>
    <w:rsid w:val="007F0455"/>
    <w:rsid w:val="007F07A9"/>
    <w:rsid w:val="007F0E2E"/>
    <w:rsid w:val="007F22C8"/>
    <w:rsid w:val="007F2F43"/>
    <w:rsid w:val="007F2FE5"/>
    <w:rsid w:val="007F3549"/>
    <w:rsid w:val="007F35D8"/>
    <w:rsid w:val="007F3CB6"/>
    <w:rsid w:val="007F43C9"/>
    <w:rsid w:val="007F4D29"/>
    <w:rsid w:val="007F5AD5"/>
    <w:rsid w:val="007F5B2A"/>
    <w:rsid w:val="007F672D"/>
    <w:rsid w:val="007F71FD"/>
    <w:rsid w:val="007F7F04"/>
    <w:rsid w:val="00800889"/>
    <w:rsid w:val="008016F0"/>
    <w:rsid w:val="00801C67"/>
    <w:rsid w:val="00802982"/>
    <w:rsid w:val="00802CA1"/>
    <w:rsid w:val="00802D04"/>
    <w:rsid w:val="00803FD9"/>
    <w:rsid w:val="0080558A"/>
    <w:rsid w:val="00805AAD"/>
    <w:rsid w:val="00806A73"/>
    <w:rsid w:val="00806B5C"/>
    <w:rsid w:val="00806CBE"/>
    <w:rsid w:val="00807191"/>
    <w:rsid w:val="0080782C"/>
    <w:rsid w:val="008079C2"/>
    <w:rsid w:val="00810FF3"/>
    <w:rsid w:val="008113BE"/>
    <w:rsid w:val="008118D9"/>
    <w:rsid w:val="00812C5F"/>
    <w:rsid w:val="00812F27"/>
    <w:rsid w:val="008134E2"/>
    <w:rsid w:val="00813505"/>
    <w:rsid w:val="00813BAC"/>
    <w:rsid w:val="0081470F"/>
    <w:rsid w:val="0081481D"/>
    <w:rsid w:val="008168B8"/>
    <w:rsid w:val="00817032"/>
    <w:rsid w:val="00817296"/>
    <w:rsid w:val="008174C1"/>
    <w:rsid w:val="00817874"/>
    <w:rsid w:val="0081787D"/>
    <w:rsid w:val="00817C07"/>
    <w:rsid w:val="00817EB7"/>
    <w:rsid w:val="0082024D"/>
    <w:rsid w:val="00820CC3"/>
    <w:rsid w:val="00820D50"/>
    <w:rsid w:val="00820F36"/>
    <w:rsid w:val="0082144D"/>
    <w:rsid w:val="00821604"/>
    <w:rsid w:val="008218DE"/>
    <w:rsid w:val="00821B62"/>
    <w:rsid w:val="00821E5D"/>
    <w:rsid w:val="00821ED2"/>
    <w:rsid w:val="0082209F"/>
    <w:rsid w:val="00822206"/>
    <w:rsid w:val="00822354"/>
    <w:rsid w:val="0082309B"/>
    <w:rsid w:val="008234B6"/>
    <w:rsid w:val="00823525"/>
    <w:rsid w:val="00823EDE"/>
    <w:rsid w:val="008242C8"/>
    <w:rsid w:val="0082439B"/>
    <w:rsid w:val="00824BAC"/>
    <w:rsid w:val="00825F7C"/>
    <w:rsid w:val="008267A9"/>
    <w:rsid w:val="00826D02"/>
    <w:rsid w:val="00827AD1"/>
    <w:rsid w:val="00827CA4"/>
    <w:rsid w:val="0083045B"/>
    <w:rsid w:val="00830B97"/>
    <w:rsid w:val="00830BE1"/>
    <w:rsid w:val="00830D6F"/>
    <w:rsid w:val="00830E2D"/>
    <w:rsid w:val="00831874"/>
    <w:rsid w:val="00831C1C"/>
    <w:rsid w:val="00831CF5"/>
    <w:rsid w:val="00831DC1"/>
    <w:rsid w:val="00832EA5"/>
    <w:rsid w:val="008332BA"/>
    <w:rsid w:val="008334E9"/>
    <w:rsid w:val="0083354C"/>
    <w:rsid w:val="00833E0B"/>
    <w:rsid w:val="00833F06"/>
    <w:rsid w:val="008349C0"/>
    <w:rsid w:val="00834F8D"/>
    <w:rsid w:val="0083506A"/>
    <w:rsid w:val="0083562E"/>
    <w:rsid w:val="008356EC"/>
    <w:rsid w:val="008358D0"/>
    <w:rsid w:val="00836109"/>
    <w:rsid w:val="00836321"/>
    <w:rsid w:val="00836B63"/>
    <w:rsid w:val="00837D20"/>
    <w:rsid w:val="0084075B"/>
    <w:rsid w:val="00841074"/>
    <w:rsid w:val="00841266"/>
    <w:rsid w:val="00842873"/>
    <w:rsid w:val="0084302C"/>
    <w:rsid w:val="00843057"/>
    <w:rsid w:val="008432B1"/>
    <w:rsid w:val="00843359"/>
    <w:rsid w:val="008434BE"/>
    <w:rsid w:val="00843806"/>
    <w:rsid w:val="00843920"/>
    <w:rsid w:val="00843B13"/>
    <w:rsid w:val="0084452B"/>
    <w:rsid w:val="0084475A"/>
    <w:rsid w:val="008448D6"/>
    <w:rsid w:val="00844D9E"/>
    <w:rsid w:val="00845D5B"/>
    <w:rsid w:val="00846EF8"/>
    <w:rsid w:val="0084762D"/>
    <w:rsid w:val="00847910"/>
    <w:rsid w:val="008479CC"/>
    <w:rsid w:val="00850728"/>
    <w:rsid w:val="00850B1A"/>
    <w:rsid w:val="00851102"/>
    <w:rsid w:val="00851833"/>
    <w:rsid w:val="00851F20"/>
    <w:rsid w:val="00852425"/>
    <w:rsid w:val="008529D3"/>
    <w:rsid w:val="00853044"/>
    <w:rsid w:val="00853228"/>
    <w:rsid w:val="00853257"/>
    <w:rsid w:val="00854472"/>
    <w:rsid w:val="008547D8"/>
    <w:rsid w:val="008551B2"/>
    <w:rsid w:val="008551C5"/>
    <w:rsid w:val="0085520F"/>
    <w:rsid w:val="008552F3"/>
    <w:rsid w:val="00855A5A"/>
    <w:rsid w:val="00855BA0"/>
    <w:rsid w:val="0085618F"/>
    <w:rsid w:val="00856233"/>
    <w:rsid w:val="00856364"/>
    <w:rsid w:val="00856D32"/>
    <w:rsid w:val="008571F6"/>
    <w:rsid w:val="008574BF"/>
    <w:rsid w:val="00857A9D"/>
    <w:rsid w:val="008604A9"/>
    <w:rsid w:val="008605D9"/>
    <w:rsid w:val="008606B2"/>
    <w:rsid w:val="008609BC"/>
    <w:rsid w:val="00860BF8"/>
    <w:rsid w:val="00860C00"/>
    <w:rsid w:val="00860E8B"/>
    <w:rsid w:val="0086136A"/>
    <w:rsid w:val="00861882"/>
    <w:rsid w:val="00861C6D"/>
    <w:rsid w:val="00862327"/>
    <w:rsid w:val="00862F77"/>
    <w:rsid w:val="008631C8"/>
    <w:rsid w:val="008635B2"/>
    <w:rsid w:val="0086467D"/>
    <w:rsid w:val="008647AF"/>
    <w:rsid w:val="008652BB"/>
    <w:rsid w:val="008652FF"/>
    <w:rsid w:val="008654E2"/>
    <w:rsid w:val="008665CC"/>
    <w:rsid w:val="00866787"/>
    <w:rsid w:val="00866E72"/>
    <w:rsid w:val="0086740C"/>
    <w:rsid w:val="008701C3"/>
    <w:rsid w:val="00870988"/>
    <w:rsid w:val="00870B21"/>
    <w:rsid w:val="00871585"/>
    <w:rsid w:val="00871808"/>
    <w:rsid w:val="00872320"/>
    <w:rsid w:val="0087235D"/>
    <w:rsid w:val="00872FD3"/>
    <w:rsid w:val="00873F23"/>
    <w:rsid w:val="00874073"/>
    <w:rsid w:val="00874847"/>
    <w:rsid w:val="00874F6A"/>
    <w:rsid w:val="00875A8C"/>
    <w:rsid w:val="00876263"/>
    <w:rsid w:val="00876608"/>
    <w:rsid w:val="00876842"/>
    <w:rsid w:val="00876E8C"/>
    <w:rsid w:val="00876FCA"/>
    <w:rsid w:val="0087736F"/>
    <w:rsid w:val="0087779A"/>
    <w:rsid w:val="0087781B"/>
    <w:rsid w:val="00877889"/>
    <w:rsid w:val="00877A29"/>
    <w:rsid w:val="0088072E"/>
    <w:rsid w:val="00880F91"/>
    <w:rsid w:val="0088104D"/>
    <w:rsid w:val="00881279"/>
    <w:rsid w:val="00881363"/>
    <w:rsid w:val="00881A79"/>
    <w:rsid w:val="00881D17"/>
    <w:rsid w:val="00882024"/>
    <w:rsid w:val="0088243A"/>
    <w:rsid w:val="00882E1A"/>
    <w:rsid w:val="008833E4"/>
    <w:rsid w:val="0088393E"/>
    <w:rsid w:val="00883F57"/>
    <w:rsid w:val="00884294"/>
    <w:rsid w:val="00884B7E"/>
    <w:rsid w:val="00884D23"/>
    <w:rsid w:val="00885A20"/>
    <w:rsid w:val="00885F1F"/>
    <w:rsid w:val="0088681D"/>
    <w:rsid w:val="00886B49"/>
    <w:rsid w:val="00886B59"/>
    <w:rsid w:val="0088728B"/>
    <w:rsid w:val="008875AC"/>
    <w:rsid w:val="008878A1"/>
    <w:rsid w:val="008878AD"/>
    <w:rsid w:val="00890154"/>
    <w:rsid w:val="00891071"/>
    <w:rsid w:val="0089155A"/>
    <w:rsid w:val="0089195D"/>
    <w:rsid w:val="008919ED"/>
    <w:rsid w:val="008924D4"/>
    <w:rsid w:val="00892B0A"/>
    <w:rsid w:val="00892B23"/>
    <w:rsid w:val="0089372A"/>
    <w:rsid w:val="00894C96"/>
    <w:rsid w:val="00895229"/>
    <w:rsid w:val="0089575E"/>
    <w:rsid w:val="00895B05"/>
    <w:rsid w:val="008968D9"/>
    <w:rsid w:val="00896FCB"/>
    <w:rsid w:val="00897365"/>
    <w:rsid w:val="008973A8"/>
    <w:rsid w:val="0089742F"/>
    <w:rsid w:val="00897CA9"/>
    <w:rsid w:val="008A07FE"/>
    <w:rsid w:val="008A1315"/>
    <w:rsid w:val="008A1601"/>
    <w:rsid w:val="008A165F"/>
    <w:rsid w:val="008A1855"/>
    <w:rsid w:val="008A282F"/>
    <w:rsid w:val="008A296F"/>
    <w:rsid w:val="008A2D67"/>
    <w:rsid w:val="008A3617"/>
    <w:rsid w:val="008A3634"/>
    <w:rsid w:val="008A3F93"/>
    <w:rsid w:val="008A45CE"/>
    <w:rsid w:val="008A4DB8"/>
    <w:rsid w:val="008A4F0B"/>
    <w:rsid w:val="008A5321"/>
    <w:rsid w:val="008A54D7"/>
    <w:rsid w:val="008A55B4"/>
    <w:rsid w:val="008A59EB"/>
    <w:rsid w:val="008A5B2D"/>
    <w:rsid w:val="008A5CE9"/>
    <w:rsid w:val="008A625C"/>
    <w:rsid w:val="008A629D"/>
    <w:rsid w:val="008A7358"/>
    <w:rsid w:val="008A7457"/>
    <w:rsid w:val="008A76DE"/>
    <w:rsid w:val="008A78A6"/>
    <w:rsid w:val="008A7A4E"/>
    <w:rsid w:val="008A7C59"/>
    <w:rsid w:val="008B020B"/>
    <w:rsid w:val="008B040C"/>
    <w:rsid w:val="008B12BF"/>
    <w:rsid w:val="008B188F"/>
    <w:rsid w:val="008B1D7D"/>
    <w:rsid w:val="008B2A93"/>
    <w:rsid w:val="008B2C0A"/>
    <w:rsid w:val="008B38BF"/>
    <w:rsid w:val="008B3D52"/>
    <w:rsid w:val="008B3DD0"/>
    <w:rsid w:val="008B445E"/>
    <w:rsid w:val="008B50B3"/>
    <w:rsid w:val="008B550C"/>
    <w:rsid w:val="008B56A1"/>
    <w:rsid w:val="008B5D23"/>
    <w:rsid w:val="008B6437"/>
    <w:rsid w:val="008B6955"/>
    <w:rsid w:val="008B6D1C"/>
    <w:rsid w:val="008B6E76"/>
    <w:rsid w:val="008B7EAB"/>
    <w:rsid w:val="008C0AD3"/>
    <w:rsid w:val="008C0CE4"/>
    <w:rsid w:val="008C1AFD"/>
    <w:rsid w:val="008C2174"/>
    <w:rsid w:val="008C2647"/>
    <w:rsid w:val="008C26D3"/>
    <w:rsid w:val="008C3396"/>
    <w:rsid w:val="008C3470"/>
    <w:rsid w:val="008C42A6"/>
    <w:rsid w:val="008C4D32"/>
    <w:rsid w:val="008C4FEB"/>
    <w:rsid w:val="008C5667"/>
    <w:rsid w:val="008C59E9"/>
    <w:rsid w:val="008C6328"/>
    <w:rsid w:val="008C686D"/>
    <w:rsid w:val="008C6D31"/>
    <w:rsid w:val="008D0718"/>
    <w:rsid w:val="008D08D1"/>
    <w:rsid w:val="008D0E8A"/>
    <w:rsid w:val="008D10BD"/>
    <w:rsid w:val="008D14B9"/>
    <w:rsid w:val="008D15D2"/>
    <w:rsid w:val="008D1AC4"/>
    <w:rsid w:val="008D1FA2"/>
    <w:rsid w:val="008D2387"/>
    <w:rsid w:val="008D2563"/>
    <w:rsid w:val="008D35E9"/>
    <w:rsid w:val="008D4050"/>
    <w:rsid w:val="008D42AE"/>
    <w:rsid w:val="008D4635"/>
    <w:rsid w:val="008D4856"/>
    <w:rsid w:val="008D5767"/>
    <w:rsid w:val="008D5932"/>
    <w:rsid w:val="008D5FDF"/>
    <w:rsid w:val="008D7D21"/>
    <w:rsid w:val="008D7DB4"/>
    <w:rsid w:val="008E0367"/>
    <w:rsid w:val="008E04B4"/>
    <w:rsid w:val="008E0629"/>
    <w:rsid w:val="008E1D72"/>
    <w:rsid w:val="008E2196"/>
    <w:rsid w:val="008E2D5C"/>
    <w:rsid w:val="008E3783"/>
    <w:rsid w:val="008E3C68"/>
    <w:rsid w:val="008E3D88"/>
    <w:rsid w:val="008E4F09"/>
    <w:rsid w:val="008E56AA"/>
    <w:rsid w:val="008E571C"/>
    <w:rsid w:val="008E59CA"/>
    <w:rsid w:val="008E6088"/>
    <w:rsid w:val="008E6DFE"/>
    <w:rsid w:val="008E7327"/>
    <w:rsid w:val="008E799C"/>
    <w:rsid w:val="008E7C16"/>
    <w:rsid w:val="008E7F63"/>
    <w:rsid w:val="008F0A0F"/>
    <w:rsid w:val="008F0A3E"/>
    <w:rsid w:val="008F0C10"/>
    <w:rsid w:val="008F0D4B"/>
    <w:rsid w:val="008F0F35"/>
    <w:rsid w:val="008F1ED5"/>
    <w:rsid w:val="008F24FD"/>
    <w:rsid w:val="008F27BE"/>
    <w:rsid w:val="008F29F6"/>
    <w:rsid w:val="008F31F7"/>
    <w:rsid w:val="008F35CC"/>
    <w:rsid w:val="008F36AC"/>
    <w:rsid w:val="008F3A08"/>
    <w:rsid w:val="008F4167"/>
    <w:rsid w:val="008F58BD"/>
    <w:rsid w:val="008F5A66"/>
    <w:rsid w:val="008F637F"/>
    <w:rsid w:val="008F64D8"/>
    <w:rsid w:val="008F699E"/>
    <w:rsid w:val="008F6FAE"/>
    <w:rsid w:val="008F7A65"/>
    <w:rsid w:val="00901396"/>
    <w:rsid w:val="0090144B"/>
    <w:rsid w:val="00901534"/>
    <w:rsid w:val="00901ABF"/>
    <w:rsid w:val="009023EE"/>
    <w:rsid w:val="009039CC"/>
    <w:rsid w:val="00903BAD"/>
    <w:rsid w:val="00903FA1"/>
    <w:rsid w:val="0090416F"/>
    <w:rsid w:val="00904354"/>
    <w:rsid w:val="00904705"/>
    <w:rsid w:val="009049DD"/>
    <w:rsid w:val="00904A2C"/>
    <w:rsid w:val="00904DEF"/>
    <w:rsid w:val="00904E50"/>
    <w:rsid w:val="00904E62"/>
    <w:rsid w:val="00905B99"/>
    <w:rsid w:val="009064E9"/>
    <w:rsid w:val="00906752"/>
    <w:rsid w:val="00910324"/>
    <w:rsid w:val="00910520"/>
    <w:rsid w:val="00910B70"/>
    <w:rsid w:val="00910B7C"/>
    <w:rsid w:val="00910F1D"/>
    <w:rsid w:val="00911DFF"/>
    <w:rsid w:val="0091260E"/>
    <w:rsid w:val="00912FCD"/>
    <w:rsid w:val="009136BE"/>
    <w:rsid w:val="009141D7"/>
    <w:rsid w:val="0091493C"/>
    <w:rsid w:val="009149AA"/>
    <w:rsid w:val="00914C20"/>
    <w:rsid w:val="00914D56"/>
    <w:rsid w:val="00914E20"/>
    <w:rsid w:val="00915A7F"/>
    <w:rsid w:val="00916240"/>
    <w:rsid w:val="0091672B"/>
    <w:rsid w:val="00916E63"/>
    <w:rsid w:val="00916F3A"/>
    <w:rsid w:val="00917180"/>
    <w:rsid w:val="009172A4"/>
    <w:rsid w:val="00917497"/>
    <w:rsid w:val="00917984"/>
    <w:rsid w:val="00917C94"/>
    <w:rsid w:val="00920113"/>
    <w:rsid w:val="00920167"/>
    <w:rsid w:val="00920442"/>
    <w:rsid w:val="00920B6E"/>
    <w:rsid w:val="00920BD0"/>
    <w:rsid w:val="00920BF0"/>
    <w:rsid w:val="009216EA"/>
    <w:rsid w:val="009216FA"/>
    <w:rsid w:val="009218E7"/>
    <w:rsid w:val="00921A80"/>
    <w:rsid w:val="00922A8E"/>
    <w:rsid w:val="00922B51"/>
    <w:rsid w:val="00922CD9"/>
    <w:rsid w:val="00922FC9"/>
    <w:rsid w:val="00923016"/>
    <w:rsid w:val="009235BE"/>
    <w:rsid w:val="00923E76"/>
    <w:rsid w:val="009242E2"/>
    <w:rsid w:val="009245DB"/>
    <w:rsid w:val="00925459"/>
    <w:rsid w:val="009254B2"/>
    <w:rsid w:val="009259A2"/>
    <w:rsid w:val="00926091"/>
    <w:rsid w:val="00926704"/>
    <w:rsid w:val="00926AD4"/>
    <w:rsid w:val="00926C0D"/>
    <w:rsid w:val="009271A4"/>
    <w:rsid w:val="00927487"/>
    <w:rsid w:val="00927A9A"/>
    <w:rsid w:val="00930196"/>
    <w:rsid w:val="0093092F"/>
    <w:rsid w:val="00930C79"/>
    <w:rsid w:val="00930E1E"/>
    <w:rsid w:val="009310BF"/>
    <w:rsid w:val="00931492"/>
    <w:rsid w:val="009317B0"/>
    <w:rsid w:val="009318F7"/>
    <w:rsid w:val="00931BB5"/>
    <w:rsid w:val="009333AD"/>
    <w:rsid w:val="00933FBA"/>
    <w:rsid w:val="00934558"/>
    <w:rsid w:val="00935752"/>
    <w:rsid w:val="00935C29"/>
    <w:rsid w:val="009366CE"/>
    <w:rsid w:val="00936DFB"/>
    <w:rsid w:val="009373C0"/>
    <w:rsid w:val="00937EF4"/>
    <w:rsid w:val="009402B7"/>
    <w:rsid w:val="009404E6"/>
    <w:rsid w:val="009411A3"/>
    <w:rsid w:val="009415D8"/>
    <w:rsid w:val="00941914"/>
    <w:rsid w:val="00942A75"/>
    <w:rsid w:val="00942F87"/>
    <w:rsid w:val="0094315E"/>
    <w:rsid w:val="009436A4"/>
    <w:rsid w:val="0094444D"/>
    <w:rsid w:val="00944AB4"/>
    <w:rsid w:val="00944C63"/>
    <w:rsid w:val="00945011"/>
    <w:rsid w:val="009450F6"/>
    <w:rsid w:val="0094519E"/>
    <w:rsid w:val="00947710"/>
    <w:rsid w:val="009479FF"/>
    <w:rsid w:val="00947A66"/>
    <w:rsid w:val="00947F47"/>
    <w:rsid w:val="009508E4"/>
    <w:rsid w:val="00950983"/>
    <w:rsid w:val="00950AD3"/>
    <w:rsid w:val="009516ED"/>
    <w:rsid w:val="0095173B"/>
    <w:rsid w:val="00951CFB"/>
    <w:rsid w:val="0095217F"/>
    <w:rsid w:val="009521BE"/>
    <w:rsid w:val="00952BE4"/>
    <w:rsid w:val="00952C36"/>
    <w:rsid w:val="00952E3C"/>
    <w:rsid w:val="00952FE1"/>
    <w:rsid w:val="00953074"/>
    <w:rsid w:val="0095310C"/>
    <w:rsid w:val="0095473C"/>
    <w:rsid w:val="00954779"/>
    <w:rsid w:val="00955056"/>
    <w:rsid w:val="0095561F"/>
    <w:rsid w:val="00955633"/>
    <w:rsid w:val="00955866"/>
    <w:rsid w:val="00955B70"/>
    <w:rsid w:val="009560F4"/>
    <w:rsid w:val="00956EE1"/>
    <w:rsid w:val="00957876"/>
    <w:rsid w:val="00957EB9"/>
    <w:rsid w:val="00960115"/>
    <w:rsid w:val="00960C39"/>
    <w:rsid w:val="00960EFF"/>
    <w:rsid w:val="00962025"/>
    <w:rsid w:val="009620EA"/>
    <w:rsid w:val="00962652"/>
    <w:rsid w:val="009628A1"/>
    <w:rsid w:val="00962B64"/>
    <w:rsid w:val="00963F6D"/>
    <w:rsid w:val="009641E8"/>
    <w:rsid w:val="009643FA"/>
    <w:rsid w:val="00964899"/>
    <w:rsid w:val="00965421"/>
    <w:rsid w:val="00965469"/>
    <w:rsid w:val="00965F9A"/>
    <w:rsid w:val="0096600C"/>
    <w:rsid w:val="00967BC9"/>
    <w:rsid w:val="009701E3"/>
    <w:rsid w:val="00970DB3"/>
    <w:rsid w:val="00971435"/>
    <w:rsid w:val="00971442"/>
    <w:rsid w:val="00971AC4"/>
    <w:rsid w:val="00971E56"/>
    <w:rsid w:val="00972D31"/>
    <w:rsid w:val="009731CA"/>
    <w:rsid w:val="00973990"/>
    <w:rsid w:val="00973E18"/>
    <w:rsid w:val="009752D4"/>
    <w:rsid w:val="00975C92"/>
    <w:rsid w:val="0097660A"/>
    <w:rsid w:val="00976FB3"/>
    <w:rsid w:val="0097702B"/>
    <w:rsid w:val="00977366"/>
    <w:rsid w:val="00977763"/>
    <w:rsid w:val="00977D1D"/>
    <w:rsid w:val="0098037A"/>
    <w:rsid w:val="00980FC5"/>
    <w:rsid w:val="0098157F"/>
    <w:rsid w:val="00982D25"/>
    <w:rsid w:val="0098304F"/>
    <w:rsid w:val="00983108"/>
    <w:rsid w:val="009841E3"/>
    <w:rsid w:val="00985C9C"/>
    <w:rsid w:val="00986A96"/>
    <w:rsid w:val="009872CF"/>
    <w:rsid w:val="00987796"/>
    <w:rsid w:val="00987A42"/>
    <w:rsid w:val="00987BF6"/>
    <w:rsid w:val="00987E06"/>
    <w:rsid w:val="00987FD5"/>
    <w:rsid w:val="00990095"/>
    <w:rsid w:val="009903D4"/>
    <w:rsid w:val="009908AD"/>
    <w:rsid w:val="009908CD"/>
    <w:rsid w:val="00990D41"/>
    <w:rsid w:val="0099162B"/>
    <w:rsid w:val="00991F14"/>
    <w:rsid w:val="0099203E"/>
    <w:rsid w:val="00992630"/>
    <w:rsid w:val="0099276C"/>
    <w:rsid w:val="00992C58"/>
    <w:rsid w:val="00992C6F"/>
    <w:rsid w:val="0099389A"/>
    <w:rsid w:val="00993CC4"/>
    <w:rsid w:val="00993CFB"/>
    <w:rsid w:val="009946AD"/>
    <w:rsid w:val="00994C75"/>
    <w:rsid w:val="00995866"/>
    <w:rsid w:val="009961A6"/>
    <w:rsid w:val="00996AA9"/>
    <w:rsid w:val="00996DD4"/>
    <w:rsid w:val="00997600"/>
    <w:rsid w:val="0099775F"/>
    <w:rsid w:val="0099792F"/>
    <w:rsid w:val="00997AD6"/>
    <w:rsid w:val="009A006A"/>
    <w:rsid w:val="009A03B8"/>
    <w:rsid w:val="009A1866"/>
    <w:rsid w:val="009A1B89"/>
    <w:rsid w:val="009A3457"/>
    <w:rsid w:val="009A364F"/>
    <w:rsid w:val="009A36C4"/>
    <w:rsid w:val="009A3D6B"/>
    <w:rsid w:val="009A4E89"/>
    <w:rsid w:val="009A5570"/>
    <w:rsid w:val="009A5795"/>
    <w:rsid w:val="009A6021"/>
    <w:rsid w:val="009A6079"/>
    <w:rsid w:val="009A64E1"/>
    <w:rsid w:val="009A700C"/>
    <w:rsid w:val="009A74E5"/>
    <w:rsid w:val="009A763A"/>
    <w:rsid w:val="009A77DD"/>
    <w:rsid w:val="009A7ABB"/>
    <w:rsid w:val="009A7B51"/>
    <w:rsid w:val="009A7F84"/>
    <w:rsid w:val="009B02B1"/>
    <w:rsid w:val="009B083C"/>
    <w:rsid w:val="009B16F7"/>
    <w:rsid w:val="009B195E"/>
    <w:rsid w:val="009B2B71"/>
    <w:rsid w:val="009B2E93"/>
    <w:rsid w:val="009B35ED"/>
    <w:rsid w:val="009B3A31"/>
    <w:rsid w:val="009B3FAF"/>
    <w:rsid w:val="009B498B"/>
    <w:rsid w:val="009B5347"/>
    <w:rsid w:val="009B5375"/>
    <w:rsid w:val="009B5439"/>
    <w:rsid w:val="009B5E52"/>
    <w:rsid w:val="009B64B7"/>
    <w:rsid w:val="009B6507"/>
    <w:rsid w:val="009B7AA0"/>
    <w:rsid w:val="009B7B1D"/>
    <w:rsid w:val="009C02E3"/>
    <w:rsid w:val="009C030A"/>
    <w:rsid w:val="009C03BF"/>
    <w:rsid w:val="009C0502"/>
    <w:rsid w:val="009C0798"/>
    <w:rsid w:val="009C0B72"/>
    <w:rsid w:val="009C0D88"/>
    <w:rsid w:val="009C17AF"/>
    <w:rsid w:val="009C1B9F"/>
    <w:rsid w:val="009C1EE5"/>
    <w:rsid w:val="009C20C7"/>
    <w:rsid w:val="009C231A"/>
    <w:rsid w:val="009C27E5"/>
    <w:rsid w:val="009C2A06"/>
    <w:rsid w:val="009C2FCA"/>
    <w:rsid w:val="009C3407"/>
    <w:rsid w:val="009C3FE1"/>
    <w:rsid w:val="009C473B"/>
    <w:rsid w:val="009C4765"/>
    <w:rsid w:val="009C496A"/>
    <w:rsid w:val="009C5159"/>
    <w:rsid w:val="009C5382"/>
    <w:rsid w:val="009C578D"/>
    <w:rsid w:val="009C5CD5"/>
    <w:rsid w:val="009C6DA7"/>
    <w:rsid w:val="009C7097"/>
    <w:rsid w:val="009D02A1"/>
    <w:rsid w:val="009D03AC"/>
    <w:rsid w:val="009D0C29"/>
    <w:rsid w:val="009D1025"/>
    <w:rsid w:val="009D12EF"/>
    <w:rsid w:val="009D1F88"/>
    <w:rsid w:val="009D2E51"/>
    <w:rsid w:val="009D3371"/>
    <w:rsid w:val="009D33F1"/>
    <w:rsid w:val="009D38C5"/>
    <w:rsid w:val="009D3BDF"/>
    <w:rsid w:val="009D4057"/>
    <w:rsid w:val="009D4222"/>
    <w:rsid w:val="009D5080"/>
    <w:rsid w:val="009D5E49"/>
    <w:rsid w:val="009D5EC8"/>
    <w:rsid w:val="009D71C0"/>
    <w:rsid w:val="009D733B"/>
    <w:rsid w:val="009D78EF"/>
    <w:rsid w:val="009E0C25"/>
    <w:rsid w:val="009E132B"/>
    <w:rsid w:val="009E210D"/>
    <w:rsid w:val="009E2222"/>
    <w:rsid w:val="009E2BFB"/>
    <w:rsid w:val="009E3A55"/>
    <w:rsid w:val="009E418A"/>
    <w:rsid w:val="009E4714"/>
    <w:rsid w:val="009E47E1"/>
    <w:rsid w:val="009E4F67"/>
    <w:rsid w:val="009E5117"/>
    <w:rsid w:val="009E5275"/>
    <w:rsid w:val="009E550B"/>
    <w:rsid w:val="009E595B"/>
    <w:rsid w:val="009E5E9B"/>
    <w:rsid w:val="009E60B3"/>
    <w:rsid w:val="009E6279"/>
    <w:rsid w:val="009E6490"/>
    <w:rsid w:val="009E65E2"/>
    <w:rsid w:val="009E6944"/>
    <w:rsid w:val="009E7AC7"/>
    <w:rsid w:val="009F00CA"/>
    <w:rsid w:val="009F022F"/>
    <w:rsid w:val="009F06FC"/>
    <w:rsid w:val="009F08F3"/>
    <w:rsid w:val="009F0E2E"/>
    <w:rsid w:val="009F10D8"/>
    <w:rsid w:val="009F121D"/>
    <w:rsid w:val="009F162B"/>
    <w:rsid w:val="009F1D97"/>
    <w:rsid w:val="009F2C13"/>
    <w:rsid w:val="009F3CF9"/>
    <w:rsid w:val="009F3F14"/>
    <w:rsid w:val="009F5313"/>
    <w:rsid w:val="009F6014"/>
    <w:rsid w:val="009F6039"/>
    <w:rsid w:val="009F60AE"/>
    <w:rsid w:val="009F703B"/>
    <w:rsid w:val="009F707C"/>
    <w:rsid w:val="009F7103"/>
    <w:rsid w:val="009F7E55"/>
    <w:rsid w:val="00A0032F"/>
    <w:rsid w:val="00A007AC"/>
    <w:rsid w:val="00A010FF"/>
    <w:rsid w:val="00A01507"/>
    <w:rsid w:val="00A01613"/>
    <w:rsid w:val="00A01CB0"/>
    <w:rsid w:val="00A020DA"/>
    <w:rsid w:val="00A0223A"/>
    <w:rsid w:val="00A0224F"/>
    <w:rsid w:val="00A023F8"/>
    <w:rsid w:val="00A02408"/>
    <w:rsid w:val="00A02CA2"/>
    <w:rsid w:val="00A04465"/>
    <w:rsid w:val="00A04B69"/>
    <w:rsid w:val="00A04FE4"/>
    <w:rsid w:val="00A050CE"/>
    <w:rsid w:val="00A05485"/>
    <w:rsid w:val="00A05C0D"/>
    <w:rsid w:val="00A0603E"/>
    <w:rsid w:val="00A060BF"/>
    <w:rsid w:val="00A0715F"/>
    <w:rsid w:val="00A07825"/>
    <w:rsid w:val="00A07AAC"/>
    <w:rsid w:val="00A07D79"/>
    <w:rsid w:val="00A10257"/>
    <w:rsid w:val="00A105DD"/>
    <w:rsid w:val="00A10807"/>
    <w:rsid w:val="00A10A1F"/>
    <w:rsid w:val="00A10BB7"/>
    <w:rsid w:val="00A10DDF"/>
    <w:rsid w:val="00A1160B"/>
    <w:rsid w:val="00A12F2B"/>
    <w:rsid w:val="00A1337C"/>
    <w:rsid w:val="00A148DE"/>
    <w:rsid w:val="00A14F5B"/>
    <w:rsid w:val="00A15078"/>
    <w:rsid w:val="00A154BB"/>
    <w:rsid w:val="00A15B00"/>
    <w:rsid w:val="00A160EC"/>
    <w:rsid w:val="00A16106"/>
    <w:rsid w:val="00A166B4"/>
    <w:rsid w:val="00A176D9"/>
    <w:rsid w:val="00A17791"/>
    <w:rsid w:val="00A178AD"/>
    <w:rsid w:val="00A17967"/>
    <w:rsid w:val="00A179F2"/>
    <w:rsid w:val="00A204D0"/>
    <w:rsid w:val="00A20E48"/>
    <w:rsid w:val="00A20F39"/>
    <w:rsid w:val="00A21422"/>
    <w:rsid w:val="00A21CFD"/>
    <w:rsid w:val="00A22398"/>
    <w:rsid w:val="00A22BEF"/>
    <w:rsid w:val="00A22EAA"/>
    <w:rsid w:val="00A239BE"/>
    <w:rsid w:val="00A244A7"/>
    <w:rsid w:val="00A2458D"/>
    <w:rsid w:val="00A258A8"/>
    <w:rsid w:val="00A25BD6"/>
    <w:rsid w:val="00A2616B"/>
    <w:rsid w:val="00A263D9"/>
    <w:rsid w:val="00A26F23"/>
    <w:rsid w:val="00A27320"/>
    <w:rsid w:val="00A2763B"/>
    <w:rsid w:val="00A27982"/>
    <w:rsid w:val="00A30F89"/>
    <w:rsid w:val="00A310FE"/>
    <w:rsid w:val="00A313C3"/>
    <w:rsid w:val="00A3151D"/>
    <w:rsid w:val="00A3234E"/>
    <w:rsid w:val="00A331F2"/>
    <w:rsid w:val="00A33285"/>
    <w:rsid w:val="00A33769"/>
    <w:rsid w:val="00A33853"/>
    <w:rsid w:val="00A341CC"/>
    <w:rsid w:val="00A34B18"/>
    <w:rsid w:val="00A3540C"/>
    <w:rsid w:val="00A3593B"/>
    <w:rsid w:val="00A36F2F"/>
    <w:rsid w:val="00A379A8"/>
    <w:rsid w:val="00A37ED4"/>
    <w:rsid w:val="00A403CB"/>
    <w:rsid w:val="00A40BEA"/>
    <w:rsid w:val="00A40C31"/>
    <w:rsid w:val="00A41535"/>
    <w:rsid w:val="00A421D5"/>
    <w:rsid w:val="00A423C6"/>
    <w:rsid w:val="00A42628"/>
    <w:rsid w:val="00A4390B"/>
    <w:rsid w:val="00A4398C"/>
    <w:rsid w:val="00A449D3"/>
    <w:rsid w:val="00A450C8"/>
    <w:rsid w:val="00A4736C"/>
    <w:rsid w:val="00A4764E"/>
    <w:rsid w:val="00A50016"/>
    <w:rsid w:val="00A50A64"/>
    <w:rsid w:val="00A51277"/>
    <w:rsid w:val="00A51CEB"/>
    <w:rsid w:val="00A51E88"/>
    <w:rsid w:val="00A53171"/>
    <w:rsid w:val="00A53679"/>
    <w:rsid w:val="00A53C69"/>
    <w:rsid w:val="00A53F05"/>
    <w:rsid w:val="00A54064"/>
    <w:rsid w:val="00A542CB"/>
    <w:rsid w:val="00A54B81"/>
    <w:rsid w:val="00A55127"/>
    <w:rsid w:val="00A55336"/>
    <w:rsid w:val="00A55515"/>
    <w:rsid w:val="00A55A36"/>
    <w:rsid w:val="00A55AC2"/>
    <w:rsid w:val="00A55D00"/>
    <w:rsid w:val="00A56498"/>
    <w:rsid w:val="00A56E36"/>
    <w:rsid w:val="00A57280"/>
    <w:rsid w:val="00A57310"/>
    <w:rsid w:val="00A57475"/>
    <w:rsid w:val="00A574D6"/>
    <w:rsid w:val="00A57E21"/>
    <w:rsid w:val="00A60D22"/>
    <w:rsid w:val="00A61BB9"/>
    <w:rsid w:val="00A61D31"/>
    <w:rsid w:val="00A620FC"/>
    <w:rsid w:val="00A623AD"/>
    <w:rsid w:val="00A628CA"/>
    <w:rsid w:val="00A62D3C"/>
    <w:rsid w:val="00A62DE7"/>
    <w:rsid w:val="00A633EA"/>
    <w:rsid w:val="00A643B8"/>
    <w:rsid w:val="00A64443"/>
    <w:rsid w:val="00A65872"/>
    <w:rsid w:val="00A65951"/>
    <w:rsid w:val="00A66ACE"/>
    <w:rsid w:val="00A66D1C"/>
    <w:rsid w:val="00A66E56"/>
    <w:rsid w:val="00A67948"/>
    <w:rsid w:val="00A67A79"/>
    <w:rsid w:val="00A67F05"/>
    <w:rsid w:val="00A70BA8"/>
    <w:rsid w:val="00A711A6"/>
    <w:rsid w:val="00A7135E"/>
    <w:rsid w:val="00A719BD"/>
    <w:rsid w:val="00A7267C"/>
    <w:rsid w:val="00A72698"/>
    <w:rsid w:val="00A7296A"/>
    <w:rsid w:val="00A72C39"/>
    <w:rsid w:val="00A73CAA"/>
    <w:rsid w:val="00A74564"/>
    <w:rsid w:val="00A74AB5"/>
    <w:rsid w:val="00A74C3E"/>
    <w:rsid w:val="00A7553D"/>
    <w:rsid w:val="00A75CD5"/>
    <w:rsid w:val="00A76264"/>
    <w:rsid w:val="00A763EF"/>
    <w:rsid w:val="00A77CA6"/>
    <w:rsid w:val="00A80143"/>
    <w:rsid w:val="00A80EF2"/>
    <w:rsid w:val="00A80FA5"/>
    <w:rsid w:val="00A811DA"/>
    <w:rsid w:val="00A8164D"/>
    <w:rsid w:val="00A81DFF"/>
    <w:rsid w:val="00A83B09"/>
    <w:rsid w:val="00A84140"/>
    <w:rsid w:val="00A84738"/>
    <w:rsid w:val="00A84A34"/>
    <w:rsid w:val="00A84CAA"/>
    <w:rsid w:val="00A85135"/>
    <w:rsid w:val="00A85968"/>
    <w:rsid w:val="00A85E3E"/>
    <w:rsid w:val="00A86478"/>
    <w:rsid w:val="00A86554"/>
    <w:rsid w:val="00A87D82"/>
    <w:rsid w:val="00A87E5A"/>
    <w:rsid w:val="00A9004F"/>
    <w:rsid w:val="00A90597"/>
    <w:rsid w:val="00A909DC"/>
    <w:rsid w:val="00A90E26"/>
    <w:rsid w:val="00A91546"/>
    <w:rsid w:val="00A91B61"/>
    <w:rsid w:val="00A9230F"/>
    <w:rsid w:val="00A925BE"/>
    <w:rsid w:val="00A929FA"/>
    <w:rsid w:val="00A92B31"/>
    <w:rsid w:val="00A93554"/>
    <w:rsid w:val="00A935A0"/>
    <w:rsid w:val="00A93641"/>
    <w:rsid w:val="00A93C4F"/>
    <w:rsid w:val="00A93FDC"/>
    <w:rsid w:val="00A95B3A"/>
    <w:rsid w:val="00A95F0A"/>
    <w:rsid w:val="00A964D0"/>
    <w:rsid w:val="00A96C30"/>
    <w:rsid w:val="00AA010F"/>
    <w:rsid w:val="00AA01DB"/>
    <w:rsid w:val="00AA0C8D"/>
    <w:rsid w:val="00AA0D3D"/>
    <w:rsid w:val="00AA1391"/>
    <w:rsid w:val="00AA1AE4"/>
    <w:rsid w:val="00AA1BD0"/>
    <w:rsid w:val="00AA2135"/>
    <w:rsid w:val="00AA26DD"/>
    <w:rsid w:val="00AA2930"/>
    <w:rsid w:val="00AA2970"/>
    <w:rsid w:val="00AA3360"/>
    <w:rsid w:val="00AA3AFF"/>
    <w:rsid w:val="00AA3E30"/>
    <w:rsid w:val="00AA3E8F"/>
    <w:rsid w:val="00AA4A09"/>
    <w:rsid w:val="00AA507B"/>
    <w:rsid w:val="00AA508E"/>
    <w:rsid w:val="00AA5CDD"/>
    <w:rsid w:val="00AA6770"/>
    <w:rsid w:val="00AA7330"/>
    <w:rsid w:val="00AA7653"/>
    <w:rsid w:val="00AA7749"/>
    <w:rsid w:val="00AA79F9"/>
    <w:rsid w:val="00AB00B5"/>
    <w:rsid w:val="00AB0657"/>
    <w:rsid w:val="00AB0740"/>
    <w:rsid w:val="00AB1536"/>
    <w:rsid w:val="00AB21D1"/>
    <w:rsid w:val="00AB2DA9"/>
    <w:rsid w:val="00AB2E7D"/>
    <w:rsid w:val="00AB36DA"/>
    <w:rsid w:val="00AB38A5"/>
    <w:rsid w:val="00AB39C8"/>
    <w:rsid w:val="00AB3DAC"/>
    <w:rsid w:val="00AB445C"/>
    <w:rsid w:val="00AB485B"/>
    <w:rsid w:val="00AB4B30"/>
    <w:rsid w:val="00AB57B0"/>
    <w:rsid w:val="00AB58EE"/>
    <w:rsid w:val="00AB658E"/>
    <w:rsid w:val="00AB6660"/>
    <w:rsid w:val="00AB723E"/>
    <w:rsid w:val="00AB7DB8"/>
    <w:rsid w:val="00AC06EE"/>
    <w:rsid w:val="00AC0727"/>
    <w:rsid w:val="00AC0A6F"/>
    <w:rsid w:val="00AC2612"/>
    <w:rsid w:val="00AC26A9"/>
    <w:rsid w:val="00AC28DC"/>
    <w:rsid w:val="00AC2FE8"/>
    <w:rsid w:val="00AC3351"/>
    <w:rsid w:val="00AC40FE"/>
    <w:rsid w:val="00AC4150"/>
    <w:rsid w:val="00AC4341"/>
    <w:rsid w:val="00AC4BBE"/>
    <w:rsid w:val="00AC5233"/>
    <w:rsid w:val="00AC619C"/>
    <w:rsid w:val="00AC7B73"/>
    <w:rsid w:val="00AD026F"/>
    <w:rsid w:val="00AD030F"/>
    <w:rsid w:val="00AD0430"/>
    <w:rsid w:val="00AD047E"/>
    <w:rsid w:val="00AD073F"/>
    <w:rsid w:val="00AD1DBF"/>
    <w:rsid w:val="00AD265D"/>
    <w:rsid w:val="00AD2C17"/>
    <w:rsid w:val="00AD315E"/>
    <w:rsid w:val="00AD3B22"/>
    <w:rsid w:val="00AD3E16"/>
    <w:rsid w:val="00AD49C7"/>
    <w:rsid w:val="00AD4DC4"/>
    <w:rsid w:val="00AD5224"/>
    <w:rsid w:val="00AD5430"/>
    <w:rsid w:val="00AD5794"/>
    <w:rsid w:val="00AD5B26"/>
    <w:rsid w:val="00AD5EB4"/>
    <w:rsid w:val="00AD5F4F"/>
    <w:rsid w:val="00AD6D6D"/>
    <w:rsid w:val="00AD6DA7"/>
    <w:rsid w:val="00AD6E14"/>
    <w:rsid w:val="00AD7EE8"/>
    <w:rsid w:val="00AE0073"/>
    <w:rsid w:val="00AE1385"/>
    <w:rsid w:val="00AE282E"/>
    <w:rsid w:val="00AE2A59"/>
    <w:rsid w:val="00AE30FB"/>
    <w:rsid w:val="00AE3552"/>
    <w:rsid w:val="00AE38A3"/>
    <w:rsid w:val="00AE3953"/>
    <w:rsid w:val="00AE4481"/>
    <w:rsid w:val="00AE6124"/>
    <w:rsid w:val="00AE627F"/>
    <w:rsid w:val="00AE6294"/>
    <w:rsid w:val="00AE75E5"/>
    <w:rsid w:val="00AE7B71"/>
    <w:rsid w:val="00AF0441"/>
    <w:rsid w:val="00AF07AB"/>
    <w:rsid w:val="00AF0EE9"/>
    <w:rsid w:val="00AF105C"/>
    <w:rsid w:val="00AF167A"/>
    <w:rsid w:val="00AF1F71"/>
    <w:rsid w:val="00AF219A"/>
    <w:rsid w:val="00AF2427"/>
    <w:rsid w:val="00AF275C"/>
    <w:rsid w:val="00AF282A"/>
    <w:rsid w:val="00AF2B63"/>
    <w:rsid w:val="00AF4B3C"/>
    <w:rsid w:val="00AF4D02"/>
    <w:rsid w:val="00AF5296"/>
    <w:rsid w:val="00AF68C4"/>
    <w:rsid w:val="00AF6FBE"/>
    <w:rsid w:val="00AF7654"/>
    <w:rsid w:val="00B000E7"/>
    <w:rsid w:val="00B0066D"/>
    <w:rsid w:val="00B00BE3"/>
    <w:rsid w:val="00B00E1E"/>
    <w:rsid w:val="00B010E0"/>
    <w:rsid w:val="00B013FA"/>
    <w:rsid w:val="00B01FAF"/>
    <w:rsid w:val="00B02696"/>
    <w:rsid w:val="00B02CC9"/>
    <w:rsid w:val="00B02F39"/>
    <w:rsid w:val="00B03680"/>
    <w:rsid w:val="00B03A2C"/>
    <w:rsid w:val="00B04693"/>
    <w:rsid w:val="00B0583E"/>
    <w:rsid w:val="00B05C6C"/>
    <w:rsid w:val="00B05DFF"/>
    <w:rsid w:val="00B069AA"/>
    <w:rsid w:val="00B075AD"/>
    <w:rsid w:val="00B10BF1"/>
    <w:rsid w:val="00B112BD"/>
    <w:rsid w:val="00B11D9A"/>
    <w:rsid w:val="00B120B4"/>
    <w:rsid w:val="00B135E9"/>
    <w:rsid w:val="00B14DEC"/>
    <w:rsid w:val="00B15656"/>
    <w:rsid w:val="00B1573A"/>
    <w:rsid w:val="00B1621D"/>
    <w:rsid w:val="00B169DE"/>
    <w:rsid w:val="00B16AD5"/>
    <w:rsid w:val="00B17064"/>
    <w:rsid w:val="00B17268"/>
    <w:rsid w:val="00B1743F"/>
    <w:rsid w:val="00B17565"/>
    <w:rsid w:val="00B17E28"/>
    <w:rsid w:val="00B17F8B"/>
    <w:rsid w:val="00B209CE"/>
    <w:rsid w:val="00B20E46"/>
    <w:rsid w:val="00B21065"/>
    <w:rsid w:val="00B21B80"/>
    <w:rsid w:val="00B22A2E"/>
    <w:rsid w:val="00B22B13"/>
    <w:rsid w:val="00B22B82"/>
    <w:rsid w:val="00B22C1A"/>
    <w:rsid w:val="00B22C61"/>
    <w:rsid w:val="00B234CE"/>
    <w:rsid w:val="00B24175"/>
    <w:rsid w:val="00B247D3"/>
    <w:rsid w:val="00B24D43"/>
    <w:rsid w:val="00B24D89"/>
    <w:rsid w:val="00B2552B"/>
    <w:rsid w:val="00B26431"/>
    <w:rsid w:val="00B26496"/>
    <w:rsid w:val="00B265C4"/>
    <w:rsid w:val="00B265E1"/>
    <w:rsid w:val="00B268E1"/>
    <w:rsid w:val="00B26986"/>
    <w:rsid w:val="00B26F17"/>
    <w:rsid w:val="00B27479"/>
    <w:rsid w:val="00B2770E"/>
    <w:rsid w:val="00B27927"/>
    <w:rsid w:val="00B27F74"/>
    <w:rsid w:val="00B27FA1"/>
    <w:rsid w:val="00B306F8"/>
    <w:rsid w:val="00B308FF"/>
    <w:rsid w:val="00B30995"/>
    <w:rsid w:val="00B30F54"/>
    <w:rsid w:val="00B3115F"/>
    <w:rsid w:val="00B315CF"/>
    <w:rsid w:val="00B31823"/>
    <w:rsid w:val="00B31A62"/>
    <w:rsid w:val="00B31AF7"/>
    <w:rsid w:val="00B324A2"/>
    <w:rsid w:val="00B328A3"/>
    <w:rsid w:val="00B331AF"/>
    <w:rsid w:val="00B33A4C"/>
    <w:rsid w:val="00B33BE1"/>
    <w:rsid w:val="00B3525B"/>
    <w:rsid w:val="00B35A56"/>
    <w:rsid w:val="00B35CC6"/>
    <w:rsid w:val="00B366CD"/>
    <w:rsid w:val="00B367CA"/>
    <w:rsid w:val="00B36F43"/>
    <w:rsid w:val="00B3711F"/>
    <w:rsid w:val="00B37392"/>
    <w:rsid w:val="00B3779B"/>
    <w:rsid w:val="00B37C25"/>
    <w:rsid w:val="00B407AA"/>
    <w:rsid w:val="00B4097A"/>
    <w:rsid w:val="00B4097D"/>
    <w:rsid w:val="00B40EB8"/>
    <w:rsid w:val="00B41FDE"/>
    <w:rsid w:val="00B42523"/>
    <w:rsid w:val="00B42E88"/>
    <w:rsid w:val="00B432BE"/>
    <w:rsid w:val="00B4461E"/>
    <w:rsid w:val="00B44FE3"/>
    <w:rsid w:val="00B45947"/>
    <w:rsid w:val="00B45B98"/>
    <w:rsid w:val="00B45B9F"/>
    <w:rsid w:val="00B460B0"/>
    <w:rsid w:val="00B46A92"/>
    <w:rsid w:val="00B47194"/>
    <w:rsid w:val="00B47C59"/>
    <w:rsid w:val="00B50849"/>
    <w:rsid w:val="00B50AFC"/>
    <w:rsid w:val="00B50B22"/>
    <w:rsid w:val="00B50F5F"/>
    <w:rsid w:val="00B513EE"/>
    <w:rsid w:val="00B51D04"/>
    <w:rsid w:val="00B5258E"/>
    <w:rsid w:val="00B529F8"/>
    <w:rsid w:val="00B52A43"/>
    <w:rsid w:val="00B52CCE"/>
    <w:rsid w:val="00B52D47"/>
    <w:rsid w:val="00B5360A"/>
    <w:rsid w:val="00B54960"/>
    <w:rsid w:val="00B55A38"/>
    <w:rsid w:val="00B55BB9"/>
    <w:rsid w:val="00B55BE2"/>
    <w:rsid w:val="00B55CE3"/>
    <w:rsid w:val="00B55DB9"/>
    <w:rsid w:val="00B55FE3"/>
    <w:rsid w:val="00B5640C"/>
    <w:rsid w:val="00B56952"/>
    <w:rsid w:val="00B56C9E"/>
    <w:rsid w:val="00B56F74"/>
    <w:rsid w:val="00B574C6"/>
    <w:rsid w:val="00B5753E"/>
    <w:rsid w:val="00B57923"/>
    <w:rsid w:val="00B5797E"/>
    <w:rsid w:val="00B57B7B"/>
    <w:rsid w:val="00B60326"/>
    <w:rsid w:val="00B6125F"/>
    <w:rsid w:val="00B613EC"/>
    <w:rsid w:val="00B6194A"/>
    <w:rsid w:val="00B61B51"/>
    <w:rsid w:val="00B61B6E"/>
    <w:rsid w:val="00B61DB7"/>
    <w:rsid w:val="00B61DFB"/>
    <w:rsid w:val="00B6232F"/>
    <w:rsid w:val="00B628EA"/>
    <w:rsid w:val="00B62BC4"/>
    <w:rsid w:val="00B62CA2"/>
    <w:rsid w:val="00B62D1E"/>
    <w:rsid w:val="00B62E60"/>
    <w:rsid w:val="00B63CC4"/>
    <w:rsid w:val="00B63D15"/>
    <w:rsid w:val="00B65413"/>
    <w:rsid w:val="00B66C91"/>
    <w:rsid w:val="00B674D8"/>
    <w:rsid w:val="00B67674"/>
    <w:rsid w:val="00B676B4"/>
    <w:rsid w:val="00B67928"/>
    <w:rsid w:val="00B67AB1"/>
    <w:rsid w:val="00B7001F"/>
    <w:rsid w:val="00B70E7B"/>
    <w:rsid w:val="00B7149F"/>
    <w:rsid w:val="00B718D8"/>
    <w:rsid w:val="00B718E7"/>
    <w:rsid w:val="00B71B6E"/>
    <w:rsid w:val="00B71C0B"/>
    <w:rsid w:val="00B71C63"/>
    <w:rsid w:val="00B71F0A"/>
    <w:rsid w:val="00B72423"/>
    <w:rsid w:val="00B72C8C"/>
    <w:rsid w:val="00B72CB9"/>
    <w:rsid w:val="00B72DB8"/>
    <w:rsid w:val="00B7347B"/>
    <w:rsid w:val="00B73849"/>
    <w:rsid w:val="00B73F3F"/>
    <w:rsid w:val="00B751D3"/>
    <w:rsid w:val="00B7650A"/>
    <w:rsid w:val="00B76637"/>
    <w:rsid w:val="00B76885"/>
    <w:rsid w:val="00B769B2"/>
    <w:rsid w:val="00B76F7E"/>
    <w:rsid w:val="00B77D81"/>
    <w:rsid w:val="00B80516"/>
    <w:rsid w:val="00B809B6"/>
    <w:rsid w:val="00B809FA"/>
    <w:rsid w:val="00B81AC2"/>
    <w:rsid w:val="00B81BE2"/>
    <w:rsid w:val="00B81CBC"/>
    <w:rsid w:val="00B826BA"/>
    <w:rsid w:val="00B82C03"/>
    <w:rsid w:val="00B82E29"/>
    <w:rsid w:val="00B83604"/>
    <w:rsid w:val="00B83955"/>
    <w:rsid w:val="00B839EE"/>
    <w:rsid w:val="00B83D04"/>
    <w:rsid w:val="00B84075"/>
    <w:rsid w:val="00B845B1"/>
    <w:rsid w:val="00B84F01"/>
    <w:rsid w:val="00B85374"/>
    <w:rsid w:val="00B85DF6"/>
    <w:rsid w:val="00B866D8"/>
    <w:rsid w:val="00B86FFA"/>
    <w:rsid w:val="00B877A1"/>
    <w:rsid w:val="00B8794D"/>
    <w:rsid w:val="00B91952"/>
    <w:rsid w:val="00B92E0E"/>
    <w:rsid w:val="00B93CB9"/>
    <w:rsid w:val="00B93F92"/>
    <w:rsid w:val="00B94159"/>
    <w:rsid w:val="00B94E91"/>
    <w:rsid w:val="00B95023"/>
    <w:rsid w:val="00B95474"/>
    <w:rsid w:val="00B95B0E"/>
    <w:rsid w:val="00B95C49"/>
    <w:rsid w:val="00B961F5"/>
    <w:rsid w:val="00B9620A"/>
    <w:rsid w:val="00B97DAC"/>
    <w:rsid w:val="00B97DC8"/>
    <w:rsid w:val="00BA05F1"/>
    <w:rsid w:val="00BA1060"/>
    <w:rsid w:val="00BA1579"/>
    <w:rsid w:val="00BA21F7"/>
    <w:rsid w:val="00BA257A"/>
    <w:rsid w:val="00BA30A9"/>
    <w:rsid w:val="00BA3316"/>
    <w:rsid w:val="00BA3DF0"/>
    <w:rsid w:val="00BA5189"/>
    <w:rsid w:val="00BA5373"/>
    <w:rsid w:val="00BA5699"/>
    <w:rsid w:val="00BA574C"/>
    <w:rsid w:val="00BA6589"/>
    <w:rsid w:val="00BA700E"/>
    <w:rsid w:val="00BA70E2"/>
    <w:rsid w:val="00BA73A4"/>
    <w:rsid w:val="00BA77E7"/>
    <w:rsid w:val="00BB053D"/>
    <w:rsid w:val="00BB06C2"/>
    <w:rsid w:val="00BB08D3"/>
    <w:rsid w:val="00BB0D8D"/>
    <w:rsid w:val="00BB128A"/>
    <w:rsid w:val="00BB1985"/>
    <w:rsid w:val="00BB21C3"/>
    <w:rsid w:val="00BB339B"/>
    <w:rsid w:val="00BB37D6"/>
    <w:rsid w:val="00BB4038"/>
    <w:rsid w:val="00BB4227"/>
    <w:rsid w:val="00BB442E"/>
    <w:rsid w:val="00BB48F6"/>
    <w:rsid w:val="00BB54B1"/>
    <w:rsid w:val="00BB60FD"/>
    <w:rsid w:val="00BC0C6D"/>
    <w:rsid w:val="00BC0F5F"/>
    <w:rsid w:val="00BC1094"/>
    <w:rsid w:val="00BC1A0C"/>
    <w:rsid w:val="00BC1A95"/>
    <w:rsid w:val="00BC272B"/>
    <w:rsid w:val="00BC2C4F"/>
    <w:rsid w:val="00BC2E70"/>
    <w:rsid w:val="00BC35DA"/>
    <w:rsid w:val="00BC35E0"/>
    <w:rsid w:val="00BC371C"/>
    <w:rsid w:val="00BC3DBE"/>
    <w:rsid w:val="00BC437F"/>
    <w:rsid w:val="00BC4620"/>
    <w:rsid w:val="00BC4B98"/>
    <w:rsid w:val="00BC5AC8"/>
    <w:rsid w:val="00BC6742"/>
    <w:rsid w:val="00BC6B6E"/>
    <w:rsid w:val="00BC6FE8"/>
    <w:rsid w:val="00BC75E6"/>
    <w:rsid w:val="00BD0E22"/>
    <w:rsid w:val="00BD10EA"/>
    <w:rsid w:val="00BD1F3E"/>
    <w:rsid w:val="00BD2BC4"/>
    <w:rsid w:val="00BD3680"/>
    <w:rsid w:val="00BD3A96"/>
    <w:rsid w:val="00BD3C5C"/>
    <w:rsid w:val="00BD4774"/>
    <w:rsid w:val="00BD48AB"/>
    <w:rsid w:val="00BD48B8"/>
    <w:rsid w:val="00BD4EAD"/>
    <w:rsid w:val="00BD5475"/>
    <w:rsid w:val="00BD69C0"/>
    <w:rsid w:val="00BD6B63"/>
    <w:rsid w:val="00BD6BCB"/>
    <w:rsid w:val="00BD6D0C"/>
    <w:rsid w:val="00BD6E94"/>
    <w:rsid w:val="00BD7670"/>
    <w:rsid w:val="00BD78CB"/>
    <w:rsid w:val="00BD7C86"/>
    <w:rsid w:val="00BD7F23"/>
    <w:rsid w:val="00BD7F55"/>
    <w:rsid w:val="00BE0056"/>
    <w:rsid w:val="00BE02F0"/>
    <w:rsid w:val="00BE08B5"/>
    <w:rsid w:val="00BE0B37"/>
    <w:rsid w:val="00BE1531"/>
    <w:rsid w:val="00BE1928"/>
    <w:rsid w:val="00BE19C5"/>
    <w:rsid w:val="00BE1D4E"/>
    <w:rsid w:val="00BE2E5C"/>
    <w:rsid w:val="00BE3081"/>
    <w:rsid w:val="00BE3ADE"/>
    <w:rsid w:val="00BE3FF4"/>
    <w:rsid w:val="00BE423A"/>
    <w:rsid w:val="00BE4948"/>
    <w:rsid w:val="00BE4C1E"/>
    <w:rsid w:val="00BE57CA"/>
    <w:rsid w:val="00BE5E78"/>
    <w:rsid w:val="00BE6FBD"/>
    <w:rsid w:val="00BE703A"/>
    <w:rsid w:val="00BE70FB"/>
    <w:rsid w:val="00BE723B"/>
    <w:rsid w:val="00BE73A2"/>
    <w:rsid w:val="00BE7B33"/>
    <w:rsid w:val="00BF0531"/>
    <w:rsid w:val="00BF0631"/>
    <w:rsid w:val="00BF08B6"/>
    <w:rsid w:val="00BF0B39"/>
    <w:rsid w:val="00BF1339"/>
    <w:rsid w:val="00BF1526"/>
    <w:rsid w:val="00BF18D4"/>
    <w:rsid w:val="00BF1B8E"/>
    <w:rsid w:val="00BF32D9"/>
    <w:rsid w:val="00BF42A8"/>
    <w:rsid w:val="00BF54AC"/>
    <w:rsid w:val="00BF5928"/>
    <w:rsid w:val="00BF73D9"/>
    <w:rsid w:val="00BF7608"/>
    <w:rsid w:val="00BF7BD9"/>
    <w:rsid w:val="00C00AFF"/>
    <w:rsid w:val="00C00D65"/>
    <w:rsid w:val="00C01236"/>
    <w:rsid w:val="00C01538"/>
    <w:rsid w:val="00C0192F"/>
    <w:rsid w:val="00C0198C"/>
    <w:rsid w:val="00C019FF"/>
    <w:rsid w:val="00C028CF"/>
    <w:rsid w:val="00C02A99"/>
    <w:rsid w:val="00C03CEC"/>
    <w:rsid w:val="00C041A9"/>
    <w:rsid w:val="00C04C7E"/>
    <w:rsid w:val="00C04D7E"/>
    <w:rsid w:val="00C05574"/>
    <w:rsid w:val="00C0583F"/>
    <w:rsid w:val="00C05960"/>
    <w:rsid w:val="00C06B2C"/>
    <w:rsid w:val="00C06D02"/>
    <w:rsid w:val="00C06DDA"/>
    <w:rsid w:val="00C07CAE"/>
    <w:rsid w:val="00C10009"/>
    <w:rsid w:val="00C10121"/>
    <w:rsid w:val="00C10783"/>
    <w:rsid w:val="00C10E28"/>
    <w:rsid w:val="00C10E74"/>
    <w:rsid w:val="00C110BA"/>
    <w:rsid w:val="00C11127"/>
    <w:rsid w:val="00C1153D"/>
    <w:rsid w:val="00C11BDB"/>
    <w:rsid w:val="00C11D29"/>
    <w:rsid w:val="00C11EC1"/>
    <w:rsid w:val="00C11F3B"/>
    <w:rsid w:val="00C127A1"/>
    <w:rsid w:val="00C12882"/>
    <w:rsid w:val="00C132F8"/>
    <w:rsid w:val="00C1355F"/>
    <w:rsid w:val="00C13A1E"/>
    <w:rsid w:val="00C140A0"/>
    <w:rsid w:val="00C141B9"/>
    <w:rsid w:val="00C1425B"/>
    <w:rsid w:val="00C14BC3"/>
    <w:rsid w:val="00C1517D"/>
    <w:rsid w:val="00C158BD"/>
    <w:rsid w:val="00C15B9E"/>
    <w:rsid w:val="00C15C22"/>
    <w:rsid w:val="00C162E6"/>
    <w:rsid w:val="00C165C3"/>
    <w:rsid w:val="00C20D67"/>
    <w:rsid w:val="00C21A5A"/>
    <w:rsid w:val="00C22FFB"/>
    <w:rsid w:val="00C2365E"/>
    <w:rsid w:val="00C237EB"/>
    <w:rsid w:val="00C23C17"/>
    <w:rsid w:val="00C23E85"/>
    <w:rsid w:val="00C23ED2"/>
    <w:rsid w:val="00C244E8"/>
    <w:rsid w:val="00C24C39"/>
    <w:rsid w:val="00C25058"/>
    <w:rsid w:val="00C25175"/>
    <w:rsid w:val="00C254DF"/>
    <w:rsid w:val="00C255A4"/>
    <w:rsid w:val="00C25E83"/>
    <w:rsid w:val="00C25EDD"/>
    <w:rsid w:val="00C25F66"/>
    <w:rsid w:val="00C2615C"/>
    <w:rsid w:val="00C26B58"/>
    <w:rsid w:val="00C26C26"/>
    <w:rsid w:val="00C27015"/>
    <w:rsid w:val="00C27045"/>
    <w:rsid w:val="00C2781A"/>
    <w:rsid w:val="00C279EB"/>
    <w:rsid w:val="00C27F34"/>
    <w:rsid w:val="00C30A4C"/>
    <w:rsid w:val="00C30C63"/>
    <w:rsid w:val="00C30ECA"/>
    <w:rsid w:val="00C3123E"/>
    <w:rsid w:val="00C32033"/>
    <w:rsid w:val="00C324E5"/>
    <w:rsid w:val="00C3358E"/>
    <w:rsid w:val="00C33BAB"/>
    <w:rsid w:val="00C33C9D"/>
    <w:rsid w:val="00C3492D"/>
    <w:rsid w:val="00C35DA6"/>
    <w:rsid w:val="00C36268"/>
    <w:rsid w:val="00C37154"/>
    <w:rsid w:val="00C374C7"/>
    <w:rsid w:val="00C377C0"/>
    <w:rsid w:val="00C40578"/>
    <w:rsid w:val="00C409B3"/>
    <w:rsid w:val="00C41A76"/>
    <w:rsid w:val="00C42B69"/>
    <w:rsid w:val="00C42C4E"/>
    <w:rsid w:val="00C43745"/>
    <w:rsid w:val="00C444EC"/>
    <w:rsid w:val="00C4470E"/>
    <w:rsid w:val="00C44A6C"/>
    <w:rsid w:val="00C46285"/>
    <w:rsid w:val="00C464F8"/>
    <w:rsid w:val="00C47D98"/>
    <w:rsid w:val="00C50CA6"/>
    <w:rsid w:val="00C50CDB"/>
    <w:rsid w:val="00C50D45"/>
    <w:rsid w:val="00C511FD"/>
    <w:rsid w:val="00C51717"/>
    <w:rsid w:val="00C51991"/>
    <w:rsid w:val="00C51C1A"/>
    <w:rsid w:val="00C51D16"/>
    <w:rsid w:val="00C51DCD"/>
    <w:rsid w:val="00C525CA"/>
    <w:rsid w:val="00C52605"/>
    <w:rsid w:val="00C526C5"/>
    <w:rsid w:val="00C52989"/>
    <w:rsid w:val="00C52A97"/>
    <w:rsid w:val="00C52AED"/>
    <w:rsid w:val="00C53449"/>
    <w:rsid w:val="00C54114"/>
    <w:rsid w:val="00C542DB"/>
    <w:rsid w:val="00C544BF"/>
    <w:rsid w:val="00C54E08"/>
    <w:rsid w:val="00C55330"/>
    <w:rsid w:val="00C55471"/>
    <w:rsid w:val="00C558D7"/>
    <w:rsid w:val="00C56007"/>
    <w:rsid w:val="00C5645D"/>
    <w:rsid w:val="00C564BF"/>
    <w:rsid w:val="00C568CF"/>
    <w:rsid w:val="00C57589"/>
    <w:rsid w:val="00C57AB4"/>
    <w:rsid w:val="00C57B41"/>
    <w:rsid w:val="00C6073F"/>
    <w:rsid w:val="00C60C0E"/>
    <w:rsid w:val="00C60D6E"/>
    <w:rsid w:val="00C612E0"/>
    <w:rsid w:val="00C6188F"/>
    <w:rsid w:val="00C61E72"/>
    <w:rsid w:val="00C62A4B"/>
    <w:rsid w:val="00C6321F"/>
    <w:rsid w:val="00C63C81"/>
    <w:rsid w:val="00C64A59"/>
    <w:rsid w:val="00C662A7"/>
    <w:rsid w:val="00C66531"/>
    <w:rsid w:val="00C67995"/>
    <w:rsid w:val="00C67E4B"/>
    <w:rsid w:val="00C7048D"/>
    <w:rsid w:val="00C70DE1"/>
    <w:rsid w:val="00C71032"/>
    <w:rsid w:val="00C71046"/>
    <w:rsid w:val="00C710ED"/>
    <w:rsid w:val="00C71412"/>
    <w:rsid w:val="00C715EC"/>
    <w:rsid w:val="00C718C4"/>
    <w:rsid w:val="00C71A9E"/>
    <w:rsid w:val="00C71C6D"/>
    <w:rsid w:val="00C72A7A"/>
    <w:rsid w:val="00C72C19"/>
    <w:rsid w:val="00C73E44"/>
    <w:rsid w:val="00C74406"/>
    <w:rsid w:val="00C74467"/>
    <w:rsid w:val="00C7471B"/>
    <w:rsid w:val="00C7475F"/>
    <w:rsid w:val="00C74ABC"/>
    <w:rsid w:val="00C75394"/>
    <w:rsid w:val="00C754DA"/>
    <w:rsid w:val="00C75568"/>
    <w:rsid w:val="00C75ACF"/>
    <w:rsid w:val="00C75C83"/>
    <w:rsid w:val="00C76017"/>
    <w:rsid w:val="00C76826"/>
    <w:rsid w:val="00C77FAD"/>
    <w:rsid w:val="00C800D5"/>
    <w:rsid w:val="00C80324"/>
    <w:rsid w:val="00C80F3B"/>
    <w:rsid w:val="00C81512"/>
    <w:rsid w:val="00C81AF3"/>
    <w:rsid w:val="00C81BDE"/>
    <w:rsid w:val="00C82296"/>
    <w:rsid w:val="00C82544"/>
    <w:rsid w:val="00C82F3E"/>
    <w:rsid w:val="00C84504"/>
    <w:rsid w:val="00C84D52"/>
    <w:rsid w:val="00C84FB3"/>
    <w:rsid w:val="00C851C6"/>
    <w:rsid w:val="00C8550C"/>
    <w:rsid w:val="00C856DD"/>
    <w:rsid w:val="00C8587F"/>
    <w:rsid w:val="00C85ECB"/>
    <w:rsid w:val="00C86158"/>
    <w:rsid w:val="00C86FD3"/>
    <w:rsid w:val="00C87747"/>
    <w:rsid w:val="00C87BBE"/>
    <w:rsid w:val="00C900AD"/>
    <w:rsid w:val="00C901E8"/>
    <w:rsid w:val="00C90404"/>
    <w:rsid w:val="00C906DF"/>
    <w:rsid w:val="00C90F06"/>
    <w:rsid w:val="00C91ACB"/>
    <w:rsid w:val="00C91CF1"/>
    <w:rsid w:val="00C91EFF"/>
    <w:rsid w:val="00C92350"/>
    <w:rsid w:val="00C927AF"/>
    <w:rsid w:val="00C92B71"/>
    <w:rsid w:val="00C9362E"/>
    <w:rsid w:val="00C93A5B"/>
    <w:rsid w:val="00C93E70"/>
    <w:rsid w:val="00C93ED0"/>
    <w:rsid w:val="00C93FD5"/>
    <w:rsid w:val="00C942FA"/>
    <w:rsid w:val="00C949DD"/>
    <w:rsid w:val="00C94F08"/>
    <w:rsid w:val="00C95068"/>
    <w:rsid w:val="00C9592B"/>
    <w:rsid w:val="00C95B58"/>
    <w:rsid w:val="00C95C21"/>
    <w:rsid w:val="00C95D1B"/>
    <w:rsid w:val="00C969FD"/>
    <w:rsid w:val="00C97512"/>
    <w:rsid w:val="00C977E9"/>
    <w:rsid w:val="00C979DA"/>
    <w:rsid w:val="00C97A01"/>
    <w:rsid w:val="00CA048E"/>
    <w:rsid w:val="00CA0B99"/>
    <w:rsid w:val="00CA0C24"/>
    <w:rsid w:val="00CA0F13"/>
    <w:rsid w:val="00CA1AB2"/>
    <w:rsid w:val="00CA1FB9"/>
    <w:rsid w:val="00CA26B6"/>
    <w:rsid w:val="00CA2744"/>
    <w:rsid w:val="00CA28EA"/>
    <w:rsid w:val="00CA2A96"/>
    <w:rsid w:val="00CA2D2D"/>
    <w:rsid w:val="00CA2EAC"/>
    <w:rsid w:val="00CA3083"/>
    <w:rsid w:val="00CA3311"/>
    <w:rsid w:val="00CA452C"/>
    <w:rsid w:val="00CA4746"/>
    <w:rsid w:val="00CA4C8F"/>
    <w:rsid w:val="00CA54CE"/>
    <w:rsid w:val="00CA5886"/>
    <w:rsid w:val="00CA5F25"/>
    <w:rsid w:val="00CA5F4A"/>
    <w:rsid w:val="00CA607D"/>
    <w:rsid w:val="00CA6A5F"/>
    <w:rsid w:val="00CA72AD"/>
    <w:rsid w:val="00CA796A"/>
    <w:rsid w:val="00CA7C79"/>
    <w:rsid w:val="00CA7C9E"/>
    <w:rsid w:val="00CB0024"/>
    <w:rsid w:val="00CB0568"/>
    <w:rsid w:val="00CB08CD"/>
    <w:rsid w:val="00CB0C82"/>
    <w:rsid w:val="00CB0E88"/>
    <w:rsid w:val="00CB0FEA"/>
    <w:rsid w:val="00CB1BC8"/>
    <w:rsid w:val="00CB1C35"/>
    <w:rsid w:val="00CB2316"/>
    <w:rsid w:val="00CB2804"/>
    <w:rsid w:val="00CB319E"/>
    <w:rsid w:val="00CB3203"/>
    <w:rsid w:val="00CB45D2"/>
    <w:rsid w:val="00CB45DA"/>
    <w:rsid w:val="00CB4EE3"/>
    <w:rsid w:val="00CB55DD"/>
    <w:rsid w:val="00CB599F"/>
    <w:rsid w:val="00CB5DC7"/>
    <w:rsid w:val="00CB5F69"/>
    <w:rsid w:val="00CB6086"/>
    <w:rsid w:val="00CB61F7"/>
    <w:rsid w:val="00CB6B7F"/>
    <w:rsid w:val="00CB763A"/>
    <w:rsid w:val="00CB7BF8"/>
    <w:rsid w:val="00CB7DC9"/>
    <w:rsid w:val="00CC0DA3"/>
    <w:rsid w:val="00CC0FD1"/>
    <w:rsid w:val="00CC19C1"/>
    <w:rsid w:val="00CC2DE9"/>
    <w:rsid w:val="00CC36F0"/>
    <w:rsid w:val="00CC3940"/>
    <w:rsid w:val="00CC3ADF"/>
    <w:rsid w:val="00CC3EFC"/>
    <w:rsid w:val="00CC4C56"/>
    <w:rsid w:val="00CC5176"/>
    <w:rsid w:val="00CC595E"/>
    <w:rsid w:val="00CC6280"/>
    <w:rsid w:val="00CC6D1B"/>
    <w:rsid w:val="00CC72C7"/>
    <w:rsid w:val="00CC7674"/>
    <w:rsid w:val="00CD17EF"/>
    <w:rsid w:val="00CD1B4A"/>
    <w:rsid w:val="00CD1C30"/>
    <w:rsid w:val="00CD1C98"/>
    <w:rsid w:val="00CD2851"/>
    <w:rsid w:val="00CD2BF8"/>
    <w:rsid w:val="00CD3056"/>
    <w:rsid w:val="00CD47DD"/>
    <w:rsid w:val="00CD55AD"/>
    <w:rsid w:val="00CD56F9"/>
    <w:rsid w:val="00CD592D"/>
    <w:rsid w:val="00CD662C"/>
    <w:rsid w:val="00CD6CC5"/>
    <w:rsid w:val="00CD7984"/>
    <w:rsid w:val="00CD7C39"/>
    <w:rsid w:val="00CE016B"/>
    <w:rsid w:val="00CE1AF1"/>
    <w:rsid w:val="00CE21F8"/>
    <w:rsid w:val="00CE23AC"/>
    <w:rsid w:val="00CE2CB5"/>
    <w:rsid w:val="00CE33A8"/>
    <w:rsid w:val="00CE3A2B"/>
    <w:rsid w:val="00CE3E20"/>
    <w:rsid w:val="00CE3E67"/>
    <w:rsid w:val="00CE4158"/>
    <w:rsid w:val="00CE4B4A"/>
    <w:rsid w:val="00CE4EFB"/>
    <w:rsid w:val="00CE5CFA"/>
    <w:rsid w:val="00CE5EB5"/>
    <w:rsid w:val="00CE5F0C"/>
    <w:rsid w:val="00CE6D55"/>
    <w:rsid w:val="00CE7F37"/>
    <w:rsid w:val="00CF02C2"/>
    <w:rsid w:val="00CF0676"/>
    <w:rsid w:val="00CF0EAF"/>
    <w:rsid w:val="00CF14C3"/>
    <w:rsid w:val="00CF1846"/>
    <w:rsid w:val="00CF23C8"/>
    <w:rsid w:val="00CF3235"/>
    <w:rsid w:val="00CF3C35"/>
    <w:rsid w:val="00CF42D5"/>
    <w:rsid w:val="00CF4B1E"/>
    <w:rsid w:val="00CF55BA"/>
    <w:rsid w:val="00CF59EF"/>
    <w:rsid w:val="00CF5F1A"/>
    <w:rsid w:val="00CF618B"/>
    <w:rsid w:val="00CF6856"/>
    <w:rsid w:val="00CF7397"/>
    <w:rsid w:val="00CF7806"/>
    <w:rsid w:val="00CF7AB5"/>
    <w:rsid w:val="00CF7CD6"/>
    <w:rsid w:val="00D00482"/>
    <w:rsid w:val="00D00DA7"/>
    <w:rsid w:val="00D01119"/>
    <w:rsid w:val="00D01581"/>
    <w:rsid w:val="00D01638"/>
    <w:rsid w:val="00D01A7F"/>
    <w:rsid w:val="00D02FFB"/>
    <w:rsid w:val="00D03261"/>
    <w:rsid w:val="00D0328B"/>
    <w:rsid w:val="00D03ABB"/>
    <w:rsid w:val="00D041B9"/>
    <w:rsid w:val="00D04564"/>
    <w:rsid w:val="00D046C8"/>
    <w:rsid w:val="00D0486E"/>
    <w:rsid w:val="00D04BCB"/>
    <w:rsid w:val="00D04E67"/>
    <w:rsid w:val="00D0532C"/>
    <w:rsid w:val="00D0581C"/>
    <w:rsid w:val="00D05AB9"/>
    <w:rsid w:val="00D0634D"/>
    <w:rsid w:val="00D06B36"/>
    <w:rsid w:val="00D070F2"/>
    <w:rsid w:val="00D07A64"/>
    <w:rsid w:val="00D07F6D"/>
    <w:rsid w:val="00D10104"/>
    <w:rsid w:val="00D10563"/>
    <w:rsid w:val="00D10ADB"/>
    <w:rsid w:val="00D11241"/>
    <w:rsid w:val="00D116D5"/>
    <w:rsid w:val="00D1196C"/>
    <w:rsid w:val="00D11FF2"/>
    <w:rsid w:val="00D12453"/>
    <w:rsid w:val="00D132C5"/>
    <w:rsid w:val="00D13E53"/>
    <w:rsid w:val="00D13EF8"/>
    <w:rsid w:val="00D1473C"/>
    <w:rsid w:val="00D14ED6"/>
    <w:rsid w:val="00D14FFA"/>
    <w:rsid w:val="00D15B50"/>
    <w:rsid w:val="00D15DC6"/>
    <w:rsid w:val="00D15FD7"/>
    <w:rsid w:val="00D16097"/>
    <w:rsid w:val="00D1666B"/>
    <w:rsid w:val="00D16917"/>
    <w:rsid w:val="00D172AA"/>
    <w:rsid w:val="00D17901"/>
    <w:rsid w:val="00D17FF1"/>
    <w:rsid w:val="00D2076D"/>
    <w:rsid w:val="00D20F31"/>
    <w:rsid w:val="00D21232"/>
    <w:rsid w:val="00D21377"/>
    <w:rsid w:val="00D21697"/>
    <w:rsid w:val="00D2194B"/>
    <w:rsid w:val="00D2223C"/>
    <w:rsid w:val="00D222AA"/>
    <w:rsid w:val="00D2232A"/>
    <w:rsid w:val="00D22A9F"/>
    <w:rsid w:val="00D22F6F"/>
    <w:rsid w:val="00D23830"/>
    <w:rsid w:val="00D23DFA"/>
    <w:rsid w:val="00D24506"/>
    <w:rsid w:val="00D24B27"/>
    <w:rsid w:val="00D25576"/>
    <w:rsid w:val="00D255AC"/>
    <w:rsid w:val="00D256FF"/>
    <w:rsid w:val="00D258FE"/>
    <w:rsid w:val="00D25ACB"/>
    <w:rsid w:val="00D25FFB"/>
    <w:rsid w:val="00D26CC6"/>
    <w:rsid w:val="00D27247"/>
    <w:rsid w:val="00D2726F"/>
    <w:rsid w:val="00D276A3"/>
    <w:rsid w:val="00D27B0F"/>
    <w:rsid w:val="00D27F90"/>
    <w:rsid w:val="00D303C0"/>
    <w:rsid w:val="00D3046C"/>
    <w:rsid w:val="00D307BC"/>
    <w:rsid w:val="00D307EF"/>
    <w:rsid w:val="00D30AA2"/>
    <w:rsid w:val="00D30C78"/>
    <w:rsid w:val="00D31461"/>
    <w:rsid w:val="00D31478"/>
    <w:rsid w:val="00D316D2"/>
    <w:rsid w:val="00D31AE3"/>
    <w:rsid w:val="00D32644"/>
    <w:rsid w:val="00D32714"/>
    <w:rsid w:val="00D32ADB"/>
    <w:rsid w:val="00D32B8D"/>
    <w:rsid w:val="00D33126"/>
    <w:rsid w:val="00D331F4"/>
    <w:rsid w:val="00D33F11"/>
    <w:rsid w:val="00D34268"/>
    <w:rsid w:val="00D353AA"/>
    <w:rsid w:val="00D353D7"/>
    <w:rsid w:val="00D358A1"/>
    <w:rsid w:val="00D35AD5"/>
    <w:rsid w:val="00D35E20"/>
    <w:rsid w:val="00D3603B"/>
    <w:rsid w:val="00D366EB"/>
    <w:rsid w:val="00D36AF0"/>
    <w:rsid w:val="00D36B44"/>
    <w:rsid w:val="00D36C1D"/>
    <w:rsid w:val="00D36CCF"/>
    <w:rsid w:val="00D37739"/>
    <w:rsid w:val="00D37996"/>
    <w:rsid w:val="00D37BE4"/>
    <w:rsid w:val="00D400E7"/>
    <w:rsid w:val="00D40304"/>
    <w:rsid w:val="00D4043D"/>
    <w:rsid w:val="00D406F0"/>
    <w:rsid w:val="00D4104E"/>
    <w:rsid w:val="00D4143F"/>
    <w:rsid w:val="00D41A48"/>
    <w:rsid w:val="00D42475"/>
    <w:rsid w:val="00D42670"/>
    <w:rsid w:val="00D4301A"/>
    <w:rsid w:val="00D43C03"/>
    <w:rsid w:val="00D43CDE"/>
    <w:rsid w:val="00D445C7"/>
    <w:rsid w:val="00D446D1"/>
    <w:rsid w:val="00D44821"/>
    <w:rsid w:val="00D44A89"/>
    <w:rsid w:val="00D44F0F"/>
    <w:rsid w:val="00D4570F"/>
    <w:rsid w:val="00D45D19"/>
    <w:rsid w:val="00D465A6"/>
    <w:rsid w:val="00D4688A"/>
    <w:rsid w:val="00D46B44"/>
    <w:rsid w:val="00D46BBF"/>
    <w:rsid w:val="00D470B9"/>
    <w:rsid w:val="00D470DF"/>
    <w:rsid w:val="00D471DD"/>
    <w:rsid w:val="00D473C2"/>
    <w:rsid w:val="00D473F4"/>
    <w:rsid w:val="00D47746"/>
    <w:rsid w:val="00D47837"/>
    <w:rsid w:val="00D5000A"/>
    <w:rsid w:val="00D50108"/>
    <w:rsid w:val="00D50D71"/>
    <w:rsid w:val="00D51B9F"/>
    <w:rsid w:val="00D51BBB"/>
    <w:rsid w:val="00D51D99"/>
    <w:rsid w:val="00D5263E"/>
    <w:rsid w:val="00D530FB"/>
    <w:rsid w:val="00D5370A"/>
    <w:rsid w:val="00D53D1B"/>
    <w:rsid w:val="00D53D2C"/>
    <w:rsid w:val="00D54D1D"/>
    <w:rsid w:val="00D555A5"/>
    <w:rsid w:val="00D5577D"/>
    <w:rsid w:val="00D5637E"/>
    <w:rsid w:val="00D56991"/>
    <w:rsid w:val="00D569D3"/>
    <w:rsid w:val="00D575D0"/>
    <w:rsid w:val="00D578BC"/>
    <w:rsid w:val="00D57B74"/>
    <w:rsid w:val="00D60219"/>
    <w:rsid w:val="00D60633"/>
    <w:rsid w:val="00D60841"/>
    <w:rsid w:val="00D60D4C"/>
    <w:rsid w:val="00D615AC"/>
    <w:rsid w:val="00D61CDF"/>
    <w:rsid w:val="00D61DB9"/>
    <w:rsid w:val="00D6232F"/>
    <w:rsid w:val="00D62831"/>
    <w:rsid w:val="00D62ED0"/>
    <w:rsid w:val="00D62FD4"/>
    <w:rsid w:val="00D632CD"/>
    <w:rsid w:val="00D63751"/>
    <w:rsid w:val="00D64127"/>
    <w:rsid w:val="00D651A2"/>
    <w:rsid w:val="00D6579C"/>
    <w:rsid w:val="00D66B13"/>
    <w:rsid w:val="00D66B1B"/>
    <w:rsid w:val="00D6732A"/>
    <w:rsid w:val="00D70711"/>
    <w:rsid w:val="00D70E8B"/>
    <w:rsid w:val="00D711B7"/>
    <w:rsid w:val="00D71239"/>
    <w:rsid w:val="00D71E16"/>
    <w:rsid w:val="00D71FEB"/>
    <w:rsid w:val="00D7273E"/>
    <w:rsid w:val="00D73180"/>
    <w:rsid w:val="00D733C8"/>
    <w:rsid w:val="00D739C7"/>
    <w:rsid w:val="00D73B8E"/>
    <w:rsid w:val="00D7439A"/>
    <w:rsid w:val="00D74B71"/>
    <w:rsid w:val="00D754FF"/>
    <w:rsid w:val="00D758C5"/>
    <w:rsid w:val="00D7627B"/>
    <w:rsid w:val="00D7674D"/>
    <w:rsid w:val="00D80632"/>
    <w:rsid w:val="00D806E8"/>
    <w:rsid w:val="00D80A95"/>
    <w:rsid w:val="00D80E5F"/>
    <w:rsid w:val="00D8201A"/>
    <w:rsid w:val="00D82689"/>
    <w:rsid w:val="00D83342"/>
    <w:rsid w:val="00D836E5"/>
    <w:rsid w:val="00D83784"/>
    <w:rsid w:val="00D8439D"/>
    <w:rsid w:val="00D8449D"/>
    <w:rsid w:val="00D8486A"/>
    <w:rsid w:val="00D85080"/>
    <w:rsid w:val="00D8527A"/>
    <w:rsid w:val="00D85A7C"/>
    <w:rsid w:val="00D8616B"/>
    <w:rsid w:val="00D863B3"/>
    <w:rsid w:val="00D8754E"/>
    <w:rsid w:val="00D8798A"/>
    <w:rsid w:val="00D87DFB"/>
    <w:rsid w:val="00D903C4"/>
    <w:rsid w:val="00D90E47"/>
    <w:rsid w:val="00D9128F"/>
    <w:rsid w:val="00D92121"/>
    <w:rsid w:val="00D92551"/>
    <w:rsid w:val="00D939A7"/>
    <w:rsid w:val="00D93B3D"/>
    <w:rsid w:val="00D94D26"/>
    <w:rsid w:val="00D95534"/>
    <w:rsid w:val="00D96D26"/>
    <w:rsid w:val="00D970CC"/>
    <w:rsid w:val="00D9762B"/>
    <w:rsid w:val="00D97E54"/>
    <w:rsid w:val="00DA0648"/>
    <w:rsid w:val="00DA083B"/>
    <w:rsid w:val="00DA0A48"/>
    <w:rsid w:val="00DA0B34"/>
    <w:rsid w:val="00DA13E8"/>
    <w:rsid w:val="00DA1894"/>
    <w:rsid w:val="00DA18B3"/>
    <w:rsid w:val="00DA25BB"/>
    <w:rsid w:val="00DA2FEC"/>
    <w:rsid w:val="00DA2FF0"/>
    <w:rsid w:val="00DA31F4"/>
    <w:rsid w:val="00DA33BC"/>
    <w:rsid w:val="00DA410A"/>
    <w:rsid w:val="00DA4262"/>
    <w:rsid w:val="00DA4595"/>
    <w:rsid w:val="00DA46BE"/>
    <w:rsid w:val="00DA4823"/>
    <w:rsid w:val="00DA4B29"/>
    <w:rsid w:val="00DA4D15"/>
    <w:rsid w:val="00DA4DD2"/>
    <w:rsid w:val="00DA4F7A"/>
    <w:rsid w:val="00DA512C"/>
    <w:rsid w:val="00DA552B"/>
    <w:rsid w:val="00DA5A0E"/>
    <w:rsid w:val="00DA6E29"/>
    <w:rsid w:val="00DA77C7"/>
    <w:rsid w:val="00DA7A17"/>
    <w:rsid w:val="00DA7C88"/>
    <w:rsid w:val="00DB03CC"/>
    <w:rsid w:val="00DB07F6"/>
    <w:rsid w:val="00DB0CC8"/>
    <w:rsid w:val="00DB1C25"/>
    <w:rsid w:val="00DB1C2B"/>
    <w:rsid w:val="00DB2E21"/>
    <w:rsid w:val="00DB32F9"/>
    <w:rsid w:val="00DB3BAA"/>
    <w:rsid w:val="00DB3BF7"/>
    <w:rsid w:val="00DB3F2B"/>
    <w:rsid w:val="00DB4896"/>
    <w:rsid w:val="00DB53A9"/>
    <w:rsid w:val="00DB53FF"/>
    <w:rsid w:val="00DB5F4B"/>
    <w:rsid w:val="00DB60D4"/>
    <w:rsid w:val="00DB6DC9"/>
    <w:rsid w:val="00DB71AF"/>
    <w:rsid w:val="00DB782F"/>
    <w:rsid w:val="00DB7C83"/>
    <w:rsid w:val="00DC0059"/>
    <w:rsid w:val="00DC034B"/>
    <w:rsid w:val="00DC0423"/>
    <w:rsid w:val="00DC05E6"/>
    <w:rsid w:val="00DC074F"/>
    <w:rsid w:val="00DC0B60"/>
    <w:rsid w:val="00DC0E59"/>
    <w:rsid w:val="00DC12CB"/>
    <w:rsid w:val="00DC1BA8"/>
    <w:rsid w:val="00DC2123"/>
    <w:rsid w:val="00DC2C3D"/>
    <w:rsid w:val="00DC2E4F"/>
    <w:rsid w:val="00DC3278"/>
    <w:rsid w:val="00DC342C"/>
    <w:rsid w:val="00DC5E5A"/>
    <w:rsid w:val="00DC5F03"/>
    <w:rsid w:val="00DC5FAA"/>
    <w:rsid w:val="00DC696E"/>
    <w:rsid w:val="00DC6E6A"/>
    <w:rsid w:val="00DC6FA2"/>
    <w:rsid w:val="00DC7A87"/>
    <w:rsid w:val="00DD0839"/>
    <w:rsid w:val="00DD1BEC"/>
    <w:rsid w:val="00DD1F87"/>
    <w:rsid w:val="00DD231E"/>
    <w:rsid w:val="00DD299B"/>
    <w:rsid w:val="00DD29EE"/>
    <w:rsid w:val="00DD2E48"/>
    <w:rsid w:val="00DD3C3D"/>
    <w:rsid w:val="00DD4278"/>
    <w:rsid w:val="00DD4493"/>
    <w:rsid w:val="00DD4792"/>
    <w:rsid w:val="00DD4BCC"/>
    <w:rsid w:val="00DD5DD0"/>
    <w:rsid w:val="00DD5E21"/>
    <w:rsid w:val="00DD66E0"/>
    <w:rsid w:val="00DD6CD6"/>
    <w:rsid w:val="00DD79A7"/>
    <w:rsid w:val="00DE021B"/>
    <w:rsid w:val="00DE0468"/>
    <w:rsid w:val="00DE0574"/>
    <w:rsid w:val="00DE0993"/>
    <w:rsid w:val="00DE0C70"/>
    <w:rsid w:val="00DE1993"/>
    <w:rsid w:val="00DE220E"/>
    <w:rsid w:val="00DE241F"/>
    <w:rsid w:val="00DE303B"/>
    <w:rsid w:val="00DE3120"/>
    <w:rsid w:val="00DE36D5"/>
    <w:rsid w:val="00DE49E1"/>
    <w:rsid w:val="00DE4C8A"/>
    <w:rsid w:val="00DE4EC1"/>
    <w:rsid w:val="00DE5E8B"/>
    <w:rsid w:val="00DE6088"/>
    <w:rsid w:val="00DE63FB"/>
    <w:rsid w:val="00DE6517"/>
    <w:rsid w:val="00DE65AA"/>
    <w:rsid w:val="00DE767B"/>
    <w:rsid w:val="00DE7C9C"/>
    <w:rsid w:val="00DE7F57"/>
    <w:rsid w:val="00DF07C2"/>
    <w:rsid w:val="00DF0E5C"/>
    <w:rsid w:val="00DF1411"/>
    <w:rsid w:val="00DF1AA4"/>
    <w:rsid w:val="00DF2032"/>
    <w:rsid w:val="00DF2CEC"/>
    <w:rsid w:val="00DF5974"/>
    <w:rsid w:val="00DF5E70"/>
    <w:rsid w:val="00DF6444"/>
    <w:rsid w:val="00DF7C2E"/>
    <w:rsid w:val="00DF7D7A"/>
    <w:rsid w:val="00E00099"/>
    <w:rsid w:val="00E00AE5"/>
    <w:rsid w:val="00E0258A"/>
    <w:rsid w:val="00E02C42"/>
    <w:rsid w:val="00E02F7C"/>
    <w:rsid w:val="00E03305"/>
    <w:rsid w:val="00E03D0B"/>
    <w:rsid w:val="00E04328"/>
    <w:rsid w:val="00E05DE3"/>
    <w:rsid w:val="00E06443"/>
    <w:rsid w:val="00E069A4"/>
    <w:rsid w:val="00E06DB1"/>
    <w:rsid w:val="00E070D7"/>
    <w:rsid w:val="00E0743F"/>
    <w:rsid w:val="00E07A39"/>
    <w:rsid w:val="00E10D81"/>
    <w:rsid w:val="00E10E5E"/>
    <w:rsid w:val="00E1188B"/>
    <w:rsid w:val="00E12317"/>
    <w:rsid w:val="00E1256C"/>
    <w:rsid w:val="00E12A2F"/>
    <w:rsid w:val="00E12EFD"/>
    <w:rsid w:val="00E1308C"/>
    <w:rsid w:val="00E130EA"/>
    <w:rsid w:val="00E14565"/>
    <w:rsid w:val="00E145F5"/>
    <w:rsid w:val="00E14AF4"/>
    <w:rsid w:val="00E14DA7"/>
    <w:rsid w:val="00E15297"/>
    <w:rsid w:val="00E1724C"/>
    <w:rsid w:val="00E17552"/>
    <w:rsid w:val="00E177BE"/>
    <w:rsid w:val="00E17A10"/>
    <w:rsid w:val="00E17C69"/>
    <w:rsid w:val="00E204CA"/>
    <w:rsid w:val="00E20AD3"/>
    <w:rsid w:val="00E21454"/>
    <w:rsid w:val="00E2149E"/>
    <w:rsid w:val="00E2168D"/>
    <w:rsid w:val="00E21772"/>
    <w:rsid w:val="00E21EA3"/>
    <w:rsid w:val="00E22322"/>
    <w:rsid w:val="00E225F6"/>
    <w:rsid w:val="00E22766"/>
    <w:rsid w:val="00E23098"/>
    <w:rsid w:val="00E230AC"/>
    <w:rsid w:val="00E2456F"/>
    <w:rsid w:val="00E24A7E"/>
    <w:rsid w:val="00E25694"/>
    <w:rsid w:val="00E25CD5"/>
    <w:rsid w:val="00E25DAF"/>
    <w:rsid w:val="00E2622B"/>
    <w:rsid w:val="00E2667E"/>
    <w:rsid w:val="00E266F7"/>
    <w:rsid w:val="00E26762"/>
    <w:rsid w:val="00E26D0E"/>
    <w:rsid w:val="00E279BA"/>
    <w:rsid w:val="00E300D7"/>
    <w:rsid w:val="00E303A9"/>
    <w:rsid w:val="00E30DA2"/>
    <w:rsid w:val="00E31330"/>
    <w:rsid w:val="00E313AF"/>
    <w:rsid w:val="00E325F3"/>
    <w:rsid w:val="00E328F1"/>
    <w:rsid w:val="00E33830"/>
    <w:rsid w:val="00E34341"/>
    <w:rsid w:val="00E34576"/>
    <w:rsid w:val="00E3467E"/>
    <w:rsid w:val="00E3505B"/>
    <w:rsid w:val="00E354FA"/>
    <w:rsid w:val="00E35639"/>
    <w:rsid w:val="00E36569"/>
    <w:rsid w:val="00E36923"/>
    <w:rsid w:val="00E37103"/>
    <w:rsid w:val="00E37454"/>
    <w:rsid w:val="00E37823"/>
    <w:rsid w:val="00E37CEC"/>
    <w:rsid w:val="00E37DE9"/>
    <w:rsid w:val="00E41B64"/>
    <w:rsid w:val="00E42A05"/>
    <w:rsid w:val="00E432A5"/>
    <w:rsid w:val="00E43D74"/>
    <w:rsid w:val="00E443D6"/>
    <w:rsid w:val="00E4446B"/>
    <w:rsid w:val="00E45012"/>
    <w:rsid w:val="00E454F2"/>
    <w:rsid w:val="00E47410"/>
    <w:rsid w:val="00E476F7"/>
    <w:rsid w:val="00E4788C"/>
    <w:rsid w:val="00E47912"/>
    <w:rsid w:val="00E47B1F"/>
    <w:rsid w:val="00E509A6"/>
    <w:rsid w:val="00E5101D"/>
    <w:rsid w:val="00E51207"/>
    <w:rsid w:val="00E51CEE"/>
    <w:rsid w:val="00E5212E"/>
    <w:rsid w:val="00E521DE"/>
    <w:rsid w:val="00E52313"/>
    <w:rsid w:val="00E5320C"/>
    <w:rsid w:val="00E53952"/>
    <w:rsid w:val="00E53C03"/>
    <w:rsid w:val="00E53C95"/>
    <w:rsid w:val="00E53E53"/>
    <w:rsid w:val="00E54F99"/>
    <w:rsid w:val="00E564AE"/>
    <w:rsid w:val="00E56588"/>
    <w:rsid w:val="00E5743C"/>
    <w:rsid w:val="00E57989"/>
    <w:rsid w:val="00E60346"/>
    <w:rsid w:val="00E60A33"/>
    <w:rsid w:val="00E615F1"/>
    <w:rsid w:val="00E61812"/>
    <w:rsid w:val="00E61D4C"/>
    <w:rsid w:val="00E6228F"/>
    <w:rsid w:val="00E629B6"/>
    <w:rsid w:val="00E62E40"/>
    <w:rsid w:val="00E62EEF"/>
    <w:rsid w:val="00E64B60"/>
    <w:rsid w:val="00E65914"/>
    <w:rsid w:val="00E6614B"/>
    <w:rsid w:val="00E666DD"/>
    <w:rsid w:val="00E669AC"/>
    <w:rsid w:val="00E66D40"/>
    <w:rsid w:val="00E67D2B"/>
    <w:rsid w:val="00E71239"/>
    <w:rsid w:val="00E713C6"/>
    <w:rsid w:val="00E714D6"/>
    <w:rsid w:val="00E716DE"/>
    <w:rsid w:val="00E716F7"/>
    <w:rsid w:val="00E71989"/>
    <w:rsid w:val="00E719FB"/>
    <w:rsid w:val="00E72EA0"/>
    <w:rsid w:val="00E72F09"/>
    <w:rsid w:val="00E72FBA"/>
    <w:rsid w:val="00E73989"/>
    <w:rsid w:val="00E74136"/>
    <w:rsid w:val="00E74E0D"/>
    <w:rsid w:val="00E74E16"/>
    <w:rsid w:val="00E75224"/>
    <w:rsid w:val="00E7581B"/>
    <w:rsid w:val="00E7608F"/>
    <w:rsid w:val="00E76F07"/>
    <w:rsid w:val="00E770B1"/>
    <w:rsid w:val="00E777BB"/>
    <w:rsid w:val="00E8073E"/>
    <w:rsid w:val="00E80BB5"/>
    <w:rsid w:val="00E80C8E"/>
    <w:rsid w:val="00E80D2F"/>
    <w:rsid w:val="00E8199A"/>
    <w:rsid w:val="00E82368"/>
    <w:rsid w:val="00E8258D"/>
    <w:rsid w:val="00E83008"/>
    <w:rsid w:val="00E8355E"/>
    <w:rsid w:val="00E83AE8"/>
    <w:rsid w:val="00E83DDC"/>
    <w:rsid w:val="00E84518"/>
    <w:rsid w:val="00E849F2"/>
    <w:rsid w:val="00E84A21"/>
    <w:rsid w:val="00E85D0C"/>
    <w:rsid w:val="00E86129"/>
    <w:rsid w:val="00E86144"/>
    <w:rsid w:val="00E86421"/>
    <w:rsid w:val="00E86489"/>
    <w:rsid w:val="00E86AA3"/>
    <w:rsid w:val="00E86DF4"/>
    <w:rsid w:val="00E86FDF"/>
    <w:rsid w:val="00E87776"/>
    <w:rsid w:val="00E87C19"/>
    <w:rsid w:val="00E87CE0"/>
    <w:rsid w:val="00E87EB3"/>
    <w:rsid w:val="00E905FE"/>
    <w:rsid w:val="00E90C35"/>
    <w:rsid w:val="00E90DE3"/>
    <w:rsid w:val="00E93CF8"/>
    <w:rsid w:val="00E94226"/>
    <w:rsid w:val="00E94675"/>
    <w:rsid w:val="00E94F7E"/>
    <w:rsid w:val="00E95691"/>
    <w:rsid w:val="00E95A5A"/>
    <w:rsid w:val="00E96796"/>
    <w:rsid w:val="00E96895"/>
    <w:rsid w:val="00E96ABC"/>
    <w:rsid w:val="00E970D7"/>
    <w:rsid w:val="00E97275"/>
    <w:rsid w:val="00E972E7"/>
    <w:rsid w:val="00E9738F"/>
    <w:rsid w:val="00E9771C"/>
    <w:rsid w:val="00E97BBC"/>
    <w:rsid w:val="00EA05D4"/>
    <w:rsid w:val="00EA0ED0"/>
    <w:rsid w:val="00EA15FF"/>
    <w:rsid w:val="00EA19E2"/>
    <w:rsid w:val="00EA2804"/>
    <w:rsid w:val="00EA350D"/>
    <w:rsid w:val="00EA4249"/>
    <w:rsid w:val="00EA42D3"/>
    <w:rsid w:val="00EA44EE"/>
    <w:rsid w:val="00EA4501"/>
    <w:rsid w:val="00EA4830"/>
    <w:rsid w:val="00EA4A74"/>
    <w:rsid w:val="00EA4B5D"/>
    <w:rsid w:val="00EA5206"/>
    <w:rsid w:val="00EA5FE9"/>
    <w:rsid w:val="00EA6217"/>
    <w:rsid w:val="00EA62B0"/>
    <w:rsid w:val="00EA67D5"/>
    <w:rsid w:val="00EA6DD1"/>
    <w:rsid w:val="00EA6F21"/>
    <w:rsid w:val="00EA6F61"/>
    <w:rsid w:val="00EA7605"/>
    <w:rsid w:val="00EA7C75"/>
    <w:rsid w:val="00EA7CAF"/>
    <w:rsid w:val="00EB03CF"/>
    <w:rsid w:val="00EB0C26"/>
    <w:rsid w:val="00EB0C85"/>
    <w:rsid w:val="00EB1540"/>
    <w:rsid w:val="00EB1E81"/>
    <w:rsid w:val="00EB1F56"/>
    <w:rsid w:val="00EB239D"/>
    <w:rsid w:val="00EB24DA"/>
    <w:rsid w:val="00EB384F"/>
    <w:rsid w:val="00EB4240"/>
    <w:rsid w:val="00EB4439"/>
    <w:rsid w:val="00EB4481"/>
    <w:rsid w:val="00EB4911"/>
    <w:rsid w:val="00EB4C43"/>
    <w:rsid w:val="00EB4E9D"/>
    <w:rsid w:val="00EB5209"/>
    <w:rsid w:val="00EB57BC"/>
    <w:rsid w:val="00EB6083"/>
    <w:rsid w:val="00EB631F"/>
    <w:rsid w:val="00EB6320"/>
    <w:rsid w:val="00EB643D"/>
    <w:rsid w:val="00EB64ED"/>
    <w:rsid w:val="00EB685B"/>
    <w:rsid w:val="00EB68C4"/>
    <w:rsid w:val="00EB6908"/>
    <w:rsid w:val="00EB7754"/>
    <w:rsid w:val="00EB792F"/>
    <w:rsid w:val="00EB7BFD"/>
    <w:rsid w:val="00EB7C8F"/>
    <w:rsid w:val="00EC0601"/>
    <w:rsid w:val="00EC132D"/>
    <w:rsid w:val="00EC1CB1"/>
    <w:rsid w:val="00EC1FF0"/>
    <w:rsid w:val="00EC236A"/>
    <w:rsid w:val="00EC254E"/>
    <w:rsid w:val="00EC26FC"/>
    <w:rsid w:val="00EC29F3"/>
    <w:rsid w:val="00EC2B01"/>
    <w:rsid w:val="00EC3099"/>
    <w:rsid w:val="00EC3169"/>
    <w:rsid w:val="00EC45A6"/>
    <w:rsid w:val="00EC6271"/>
    <w:rsid w:val="00EC68E7"/>
    <w:rsid w:val="00EC6A1C"/>
    <w:rsid w:val="00EC6BED"/>
    <w:rsid w:val="00EC6E74"/>
    <w:rsid w:val="00EC7551"/>
    <w:rsid w:val="00EC7AB4"/>
    <w:rsid w:val="00EC7B26"/>
    <w:rsid w:val="00EC7BA1"/>
    <w:rsid w:val="00ED001D"/>
    <w:rsid w:val="00ED0A0B"/>
    <w:rsid w:val="00ED0F8C"/>
    <w:rsid w:val="00ED17B1"/>
    <w:rsid w:val="00ED18E4"/>
    <w:rsid w:val="00ED233E"/>
    <w:rsid w:val="00ED2398"/>
    <w:rsid w:val="00ED2FB4"/>
    <w:rsid w:val="00ED304E"/>
    <w:rsid w:val="00ED3B37"/>
    <w:rsid w:val="00ED47FC"/>
    <w:rsid w:val="00ED5E60"/>
    <w:rsid w:val="00ED5FCA"/>
    <w:rsid w:val="00ED6631"/>
    <w:rsid w:val="00ED6723"/>
    <w:rsid w:val="00ED6895"/>
    <w:rsid w:val="00ED6C9B"/>
    <w:rsid w:val="00ED6CE8"/>
    <w:rsid w:val="00ED6D8D"/>
    <w:rsid w:val="00ED6FD1"/>
    <w:rsid w:val="00ED79D2"/>
    <w:rsid w:val="00EE0696"/>
    <w:rsid w:val="00EE0E42"/>
    <w:rsid w:val="00EE0F03"/>
    <w:rsid w:val="00EE1F18"/>
    <w:rsid w:val="00EE22B8"/>
    <w:rsid w:val="00EE2F7A"/>
    <w:rsid w:val="00EE35C1"/>
    <w:rsid w:val="00EE39F2"/>
    <w:rsid w:val="00EE3BD4"/>
    <w:rsid w:val="00EE4253"/>
    <w:rsid w:val="00EE50D0"/>
    <w:rsid w:val="00EE5399"/>
    <w:rsid w:val="00EE5854"/>
    <w:rsid w:val="00EE5896"/>
    <w:rsid w:val="00EE5B0B"/>
    <w:rsid w:val="00EE6130"/>
    <w:rsid w:val="00EE6B11"/>
    <w:rsid w:val="00EE6E10"/>
    <w:rsid w:val="00EE77CF"/>
    <w:rsid w:val="00EE7808"/>
    <w:rsid w:val="00EF02D3"/>
    <w:rsid w:val="00EF0DD4"/>
    <w:rsid w:val="00EF1209"/>
    <w:rsid w:val="00EF170A"/>
    <w:rsid w:val="00EF1B94"/>
    <w:rsid w:val="00EF20A5"/>
    <w:rsid w:val="00EF2618"/>
    <w:rsid w:val="00EF26E4"/>
    <w:rsid w:val="00EF2AD0"/>
    <w:rsid w:val="00EF351D"/>
    <w:rsid w:val="00EF4638"/>
    <w:rsid w:val="00EF4B6D"/>
    <w:rsid w:val="00EF4C2C"/>
    <w:rsid w:val="00EF4FD5"/>
    <w:rsid w:val="00EF5352"/>
    <w:rsid w:val="00EF5652"/>
    <w:rsid w:val="00EF59E7"/>
    <w:rsid w:val="00EF59F4"/>
    <w:rsid w:val="00EF5C25"/>
    <w:rsid w:val="00EF61DA"/>
    <w:rsid w:val="00EF62AA"/>
    <w:rsid w:val="00EF6C96"/>
    <w:rsid w:val="00EF7506"/>
    <w:rsid w:val="00EF77D7"/>
    <w:rsid w:val="00F001FA"/>
    <w:rsid w:val="00F00228"/>
    <w:rsid w:val="00F0063F"/>
    <w:rsid w:val="00F00DC9"/>
    <w:rsid w:val="00F0107E"/>
    <w:rsid w:val="00F015DC"/>
    <w:rsid w:val="00F017C0"/>
    <w:rsid w:val="00F01C5C"/>
    <w:rsid w:val="00F01D22"/>
    <w:rsid w:val="00F01EDF"/>
    <w:rsid w:val="00F01F55"/>
    <w:rsid w:val="00F02063"/>
    <w:rsid w:val="00F0244D"/>
    <w:rsid w:val="00F026E7"/>
    <w:rsid w:val="00F02C65"/>
    <w:rsid w:val="00F0332B"/>
    <w:rsid w:val="00F0383A"/>
    <w:rsid w:val="00F0384C"/>
    <w:rsid w:val="00F03C4C"/>
    <w:rsid w:val="00F03E0D"/>
    <w:rsid w:val="00F03F82"/>
    <w:rsid w:val="00F04996"/>
    <w:rsid w:val="00F0587A"/>
    <w:rsid w:val="00F058DA"/>
    <w:rsid w:val="00F05D73"/>
    <w:rsid w:val="00F07128"/>
    <w:rsid w:val="00F0716C"/>
    <w:rsid w:val="00F071E3"/>
    <w:rsid w:val="00F074C1"/>
    <w:rsid w:val="00F074EA"/>
    <w:rsid w:val="00F0789A"/>
    <w:rsid w:val="00F078A4"/>
    <w:rsid w:val="00F07E04"/>
    <w:rsid w:val="00F102DE"/>
    <w:rsid w:val="00F106D5"/>
    <w:rsid w:val="00F106EF"/>
    <w:rsid w:val="00F11364"/>
    <w:rsid w:val="00F1150F"/>
    <w:rsid w:val="00F11A50"/>
    <w:rsid w:val="00F122E9"/>
    <w:rsid w:val="00F1240A"/>
    <w:rsid w:val="00F12969"/>
    <w:rsid w:val="00F1348B"/>
    <w:rsid w:val="00F137E1"/>
    <w:rsid w:val="00F13CFA"/>
    <w:rsid w:val="00F14477"/>
    <w:rsid w:val="00F144CE"/>
    <w:rsid w:val="00F15618"/>
    <w:rsid w:val="00F15669"/>
    <w:rsid w:val="00F1661B"/>
    <w:rsid w:val="00F16CEA"/>
    <w:rsid w:val="00F1720C"/>
    <w:rsid w:val="00F2026C"/>
    <w:rsid w:val="00F20ADF"/>
    <w:rsid w:val="00F21004"/>
    <w:rsid w:val="00F21AD0"/>
    <w:rsid w:val="00F21D20"/>
    <w:rsid w:val="00F223E4"/>
    <w:rsid w:val="00F22505"/>
    <w:rsid w:val="00F22A32"/>
    <w:rsid w:val="00F22CA4"/>
    <w:rsid w:val="00F23357"/>
    <w:rsid w:val="00F235BB"/>
    <w:rsid w:val="00F2395C"/>
    <w:rsid w:val="00F246C2"/>
    <w:rsid w:val="00F24AC1"/>
    <w:rsid w:val="00F25051"/>
    <w:rsid w:val="00F2578C"/>
    <w:rsid w:val="00F26135"/>
    <w:rsid w:val="00F2687C"/>
    <w:rsid w:val="00F26900"/>
    <w:rsid w:val="00F26AEE"/>
    <w:rsid w:val="00F2750C"/>
    <w:rsid w:val="00F276F2"/>
    <w:rsid w:val="00F27948"/>
    <w:rsid w:val="00F27A4F"/>
    <w:rsid w:val="00F303F0"/>
    <w:rsid w:val="00F3065A"/>
    <w:rsid w:val="00F30899"/>
    <w:rsid w:val="00F30A9D"/>
    <w:rsid w:val="00F30CE8"/>
    <w:rsid w:val="00F314B8"/>
    <w:rsid w:val="00F31FA5"/>
    <w:rsid w:val="00F325DF"/>
    <w:rsid w:val="00F32959"/>
    <w:rsid w:val="00F32F9A"/>
    <w:rsid w:val="00F33433"/>
    <w:rsid w:val="00F34035"/>
    <w:rsid w:val="00F346F4"/>
    <w:rsid w:val="00F34891"/>
    <w:rsid w:val="00F3514D"/>
    <w:rsid w:val="00F35E99"/>
    <w:rsid w:val="00F36381"/>
    <w:rsid w:val="00F3640D"/>
    <w:rsid w:val="00F37468"/>
    <w:rsid w:val="00F376A4"/>
    <w:rsid w:val="00F37755"/>
    <w:rsid w:val="00F37843"/>
    <w:rsid w:val="00F379F9"/>
    <w:rsid w:val="00F4069B"/>
    <w:rsid w:val="00F408E5"/>
    <w:rsid w:val="00F4093D"/>
    <w:rsid w:val="00F40DF7"/>
    <w:rsid w:val="00F41378"/>
    <w:rsid w:val="00F415A5"/>
    <w:rsid w:val="00F42003"/>
    <w:rsid w:val="00F425FC"/>
    <w:rsid w:val="00F42FA9"/>
    <w:rsid w:val="00F430FF"/>
    <w:rsid w:val="00F43A57"/>
    <w:rsid w:val="00F447AD"/>
    <w:rsid w:val="00F4492C"/>
    <w:rsid w:val="00F44AF7"/>
    <w:rsid w:val="00F44BCB"/>
    <w:rsid w:val="00F44BCC"/>
    <w:rsid w:val="00F44DD0"/>
    <w:rsid w:val="00F45E57"/>
    <w:rsid w:val="00F46198"/>
    <w:rsid w:val="00F470B9"/>
    <w:rsid w:val="00F47402"/>
    <w:rsid w:val="00F50256"/>
    <w:rsid w:val="00F50B04"/>
    <w:rsid w:val="00F50B11"/>
    <w:rsid w:val="00F50E2C"/>
    <w:rsid w:val="00F5109E"/>
    <w:rsid w:val="00F519A3"/>
    <w:rsid w:val="00F51B79"/>
    <w:rsid w:val="00F52380"/>
    <w:rsid w:val="00F52BFA"/>
    <w:rsid w:val="00F53039"/>
    <w:rsid w:val="00F532EF"/>
    <w:rsid w:val="00F5371A"/>
    <w:rsid w:val="00F53B36"/>
    <w:rsid w:val="00F53B9D"/>
    <w:rsid w:val="00F53E33"/>
    <w:rsid w:val="00F54063"/>
    <w:rsid w:val="00F5439A"/>
    <w:rsid w:val="00F547C4"/>
    <w:rsid w:val="00F54BE3"/>
    <w:rsid w:val="00F54D83"/>
    <w:rsid w:val="00F54FB7"/>
    <w:rsid w:val="00F55EB9"/>
    <w:rsid w:val="00F572DD"/>
    <w:rsid w:val="00F57982"/>
    <w:rsid w:val="00F6048F"/>
    <w:rsid w:val="00F60C28"/>
    <w:rsid w:val="00F60C60"/>
    <w:rsid w:val="00F60C91"/>
    <w:rsid w:val="00F61EB5"/>
    <w:rsid w:val="00F622AC"/>
    <w:rsid w:val="00F637F7"/>
    <w:rsid w:val="00F63D92"/>
    <w:rsid w:val="00F63DF6"/>
    <w:rsid w:val="00F64C84"/>
    <w:rsid w:val="00F65255"/>
    <w:rsid w:val="00F65A35"/>
    <w:rsid w:val="00F65CAB"/>
    <w:rsid w:val="00F667ED"/>
    <w:rsid w:val="00F668CD"/>
    <w:rsid w:val="00F66CB3"/>
    <w:rsid w:val="00F6700E"/>
    <w:rsid w:val="00F67304"/>
    <w:rsid w:val="00F67837"/>
    <w:rsid w:val="00F701B1"/>
    <w:rsid w:val="00F702B0"/>
    <w:rsid w:val="00F70510"/>
    <w:rsid w:val="00F7113D"/>
    <w:rsid w:val="00F72A8D"/>
    <w:rsid w:val="00F72AF1"/>
    <w:rsid w:val="00F72E3B"/>
    <w:rsid w:val="00F737D0"/>
    <w:rsid w:val="00F746E3"/>
    <w:rsid w:val="00F747EB"/>
    <w:rsid w:val="00F76FD4"/>
    <w:rsid w:val="00F7756C"/>
    <w:rsid w:val="00F777EC"/>
    <w:rsid w:val="00F77AA2"/>
    <w:rsid w:val="00F80044"/>
    <w:rsid w:val="00F80AAF"/>
    <w:rsid w:val="00F80AD3"/>
    <w:rsid w:val="00F80E88"/>
    <w:rsid w:val="00F80EE4"/>
    <w:rsid w:val="00F815EB"/>
    <w:rsid w:val="00F81933"/>
    <w:rsid w:val="00F82272"/>
    <w:rsid w:val="00F826A1"/>
    <w:rsid w:val="00F82883"/>
    <w:rsid w:val="00F83C88"/>
    <w:rsid w:val="00F84654"/>
    <w:rsid w:val="00F852AF"/>
    <w:rsid w:val="00F853E7"/>
    <w:rsid w:val="00F85708"/>
    <w:rsid w:val="00F85F69"/>
    <w:rsid w:val="00F86067"/>
    <w:rsid w:val="00F86337"/>
    <w:rsid w:val="00F86A26"/>
    <w:rsid w:val="00F8798E"/>
    <w:rsid w:val="00F87C4A"/>
    <w:rsid w:val="00F87D6C"/>
    <w:rsid w:val="00F903A6"/>
    <w:rsid w:val="00F90CA4"/>
    <w:rsid w:val="00F910D8"/>
    <w:rsid w:val="00F9204E"/>
    <w:rsid w:val="00F92947"/>
    <w:rsid w:val="00F929D5"/>
    <w:rsid w:val="00F934CF"/>
    <w:rsid w:val="00F93838"/>
    <w:rsid w:val="00F93ED3"/>
    <w:rsid w:val="00F94050"/>
    <w:rsid w:val="00F94748"/>
    <w:rsid w:val="00F949DB"/>
    <w:rsid w:val="00F952E4"/>
    <w:rsid w:val="00F952ED"/>
    <w:rsid w:val="00F962C4"/>
    <w:rsid w:val="00F963DA"/>
    <w:rsid w:val="00F96CE9"/>
    <w:rsid w:val="00F97BBE"/>
    <w:rsid w:val="00F97D75"/>
    <w:rsid w:val="00FA07A8"/>
    <w:rsid w:val="00FA0949"/>
    <w:rsid w:val="00FA1304"/>
    <w:rsid w:val="00FA14CF"/>
    <w:rsid w:val="00FA16FE"/>
    <w:rsid w:val="00FA182E"/>
    <w:rsid w:val="00FA1EE9"/>
    <w:rsid w:val="00FA2556"/>
    <w:rsid w:val="00FA2C3D"/>
    <w:rsid w:val="00FA396E"/>
    <w:rsid w:val="00FA4794"/>
    <w:rsid w:val="00FA530B"/>
    <w:rsid w:val="00FA53A8"/>
    <w:rsid w:val="00FA54FF"/>
    <w:rsid w:val="00FA6305"/>
    <w:rsid w:val="00FA639D"/>
    <w:rsid w:val="00FA6E00"/>
    <w:rsid w:val="00FA6F25"/>
    <w:rsid w:val="00FB1147"/>
    <w:rsid w:val="00FB12E5"/>
    <w:rsid w:val="00FB1FFF"/>
    <w:rsid w:val="00FB24B0"/>
    <w:rsid w:val="00FB3542"/>
    <w:rsid w:val="00FB3B19"/>
    <w:rsid w:val="00FB3D33"/>
    <w:rsid w:val="00FB512E"/>
    <w:rsid w:val="00FB5590"/>
    <w:rsid w:val="00FB5CC4"/>
    <w:rsid w:val="00FB5D20"/>
    <w:rsid w:val="00FB5E66"/>
    <w:rsid w:val="00FB65F8"/>
    <w:rsid w:val="00FB66DF"/>
    <w:rsid w:val="00FB7B86"/>
    <w:rsid w:val="00FC0314"/>
    <w:rsid w:val="00FC03F0"/>
    <w:rsid w:val="00FC05A3"/>
    <w:rsid w:val="00FC0BA6"/>
    <w:rsid w:val="00FC1344"/>
    <w:rsid w:val="00FC2448"/>
    <w:rsid w:val="00FC2942"/>
    <w:rsid w:val="00FC29E1"/>
    <w:rsid w:val="00FC2C8B"/>
    <w:rsid w:val="00FC2F93"/>
    <w:rsid w:val="00FC31E0"/>
    <w:rsid w:val="00FC4637"/>
    <w:rsid w:val="00FC4F5D"/>
    <w:rsid w:val="00FC5961"/>
    <w:rsid w:val="00FC5D5F"/>
    <w:rsid w:val="00FC66AE"/>
    <w:rsid w:val="00FC67C3"/>
    <w:rsid w:val="00FC684C"/>
    <w:rsid w:val="00FC6CD4"/>
    <w:rsid w:val="00FC73BE"/>
    <w:rsid w:val="00FD0830"/>
    <w:rsid w:val="00FD08C7"/>
    <w:rsid w:val="00FD1169"/>
    <w:rsid w:val="00FD2115"/>
    <w:rsid w:val="00FD221D"/>
    <w:rsid w:val="00FD2A21"/>
    <w:rsid w:val="00FD2D64"/>
    <w:rsid w:val="00FD31C9"/>
    <w:rsid w:val="00FD3613"/>
    <w:rsid w:val="00FD379D"/>
    <w:rsid w:val="00FD4839"/>
    <w:rsid w:val="00FD4D3A"/>
    <w:rsid w:val="00FD4FBD"/>
    <w:rsid w:val="00FD5346"/>
    <w:rsid w:val="00FD6B01"/>
    <w:rsid w:val="00FD7370"/>
    <w:rsid w:val="00FD781D"/>
    <w:rsid w:val="00FD7A6C"/>
    <w:rsid w:val="00FE02C4"/>
    <w:rsid w:val="00FE0527"/>
    <w:rsid w:val="00FE0ACE"/>
    <w:rsid w:val="00FE0D62"/>
    <w:rsid w:val="00FE0F23"/>
    <w:rsid w:val="00FE12B8"/>
    <w:rsid w:val="00FE14A5"/>
    <w:rsid w:val="00FE1FC2"/>
    <w:rsid w:val="00FE28CD"/>
    <w:rsid w:val="00FE2B75"/>
    <w:rsid w:val="00FE2BD6"/>
    <w:rsid w:val="00FE454B"/>
    <w:rsid w:val="00FE471F"/>
    <w:rsid w:val="00FE48FE"/>
    <w:rsid w:val="00FE4929"/>
    <w:rsid w:val="00FE4A42"/>
    <w:rsid w:val="00FE5E0B"/>
    <w:rsid w:val="00FE5EE6"/>
    <w:rsid w:val="00FE6668"/>
    <w:rsid w:val="00FE7321"/>
    <w:rsid w:val="00FE7349"/>
    <w:rsid w:val="00FE7897"/>
    <w:rsid w:val="00FE7BB7"/>
    <w:rsid w:val="00FF044C"/>
    <w:rsid w:val="00FF04CA"/>
    <w:rsid w:val="00FF1170"/>
    <w:rsid w:val="00FF1BD7"/>
    <w:rsid w:val="00FF2EB5"/>
    <w:rsid w:val="00FF3190"/>
    <w:rsid w:val="00FF33DA"/>
    <w:rsid w:val="00FF3487"/>
    <w:rsid w:val="00FF3DE2"/>
    <w:rsid w:val="00FF3E9D"/>
    <w:rsid w:val="00FF3EE2"/>
    <w:rsid w:val="00FF48BB"/>
    <w:rsid w:val="00FF4C0A"/>
    <w:rsid w:val="00FF522E"/>
    <w:rsid w:val="00FF5484"/>
    <w:rsid w:val="00FF5725"/>
    <w:rsid w:val="00FF5989"/>
    <w:rsid w:val="00FF5CFC"/>
    <w:rsid w:val="00FF5EF9"/>
    <w:rsid w:val="00FF603A"/>
    <w:rsid w:val="00FF654E"/>
    <w:rsid w:val="00FF6E81"/>
    <w:rsid w:val="00FF7A39"/>
    <w:rsid w:val="00FF7B32"/>
    <w:rsid w:val="079349AA"/>
    <w:rsid w:val="088A7BC4"/>
    <w:rsid w:val="2B27EF0F"/>
    <w:rsid w:val="3B3EFE82"/>
    <w:rsid w:val="3FBCA5F2"/>
    <w:rsid w:val="3FBCCAD0"/>
    <w:rsid w:val="4975985D"/>
    <w:rsid w:val="50166D22"/>
    <w:rsid w:val="559E9845"/>
    <w:rsid w:val="6CB4B22C"/>
    <w:rsid w:val="6D78132F"/>
    <w:rsid w:val="6DFCE07E"/>
    <w:rsid w:val="6FCA4BE5"/>
    <w:rsid w:val="7DE6950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1B40E"/>
  <w15:docId w15:val="{CA9F8CA2-F58D-4012-80C1-F983BA72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662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62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62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66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66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6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6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6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6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6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6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62A8"/>
    <w:rPr>
      <w:rFonts w:eastAsiaTheme="majorEastAsia" w:cstheme="majorBidi"/>
      <w:color w:val="272727" w:themeColor="text1" w:themeTint="D8"/>
    </w:rPr>
  </w:style>
  <w:style w:type="character" w:customStyle="1" w:styleId="TitleChar">
    <w:name w:val="Title Char"/>
    <w:basedOn w:val="DefaultParagraphFont"/>
    <w:link w:val="Title"/>
    <w:uiPriority w:val="10"/>
    <w:rsid w:val="00F662A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66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62A8"/>
    <w:pPr>
      <w:spacing w:before="160"/>
      <w:jc w:val="center"/>
    </w:pPr>
    <w:rPr>
      <w:i/>
      <w:iCs/>
      <w:color w:val="404040" w:themeColor="text1" w:themeTint="BF"/>
    </w:rPr>
  </w:style>
  <w:style w:type="character" w:customStyle="1" w:styleId="QuoteChar">
    <w:name w:val="Quote Char"/>
    <w:basedOn w:val="DefaultParagraphFont"/>
    <w:link w:val="Quote"/>
    <w:uiPriority w:val="29"/>
    <w:rsid w:val="00F662A8"/>
    <w:rPr>
      <w:i/>
      <w:iCs/>
      <w:color w:val="404040" w:themeColor="text1" w:themeTint="BF"/>
    </w:rPr>
  </w:style>
  <w:style w:type="paragraph" w:styleId="ListParagraph">
    <w:name w:val="List Paragraph"/>
    <w:basedOn w:val="Normal"/>
    <w:uiPriority w:val="34"/>
    <w:qFormat/>
    <w:rsid w:val="00F662A8"/>
    <w:pPr>
      <w:ind w:left="720"/>
      <w:contextualSpacing/>
    </w:pPr>
  </w:style>
  <w:style w:type="character" w:styleId="IntenseEmphasis">
    <w:name w:val="Intense Emphasis"/>
    <w:basedOn w:val="DefaultParagraphFont"/>
    <w:uiPriority w:val="21"/>
    <w:qFormat/>
    <w:rsid w:val="00F662A8"/>
    <w:rPr>
      <w:i/>
      <w:iCs/>
      <w:color w:val="0F4761" w:themeColor="accent1" w:themeShade="BF"/>
    </w:rPr>
  </w:style>
  <w:style w:type="paragraph" w:styleId="IntenseQuote">
    <w:name w:val="Intense Quote"/>
    <w:basedOn w:val="Normal"/>
    <w:next w:val="Normal"/>
    <w:link w:val="IntenseQuoteChar"/>
    <w:uiPriority w:val="30"/>
    <w:qFormat/>
    <w:rsid w:val="00F662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62A8"/>
    <w:rPr>
      <w:i/>
      <w:iCs/>
      <w:color w:val="0F4761" w:themeColor="accent1" w:themeShade="BF"/>
    </w:rPr>
  </w:style>
  <w:style w:type="character" w:styleId="IntenseReference">
    <w:name w:val="Intense Reference"/>
    <w:basedOn w:val="DefaultParagraphFont"/>
    <w:uiPriority w:val="32"/>
    <w:qFormat/>
    <w:rsid w:val="00F662A8"/>
    <w:rPr>
      <w:b/>
      <w:bCs/>
      <w:smallCaps/>
      <w:color w:val="0F4761" w:themeColor="accent1" w:themeShade="BF"/>
      <w:spacing w:val="5"/>
    </w:rPr>
  </w:style>
  <w:style w:type="character" w:styleId="CommentReference">
    <w:name w:val="annotation reference"/>
    <w:basedOn w:val="DefaultParagraphFont"/>
    <w:uiPriority w:val="99"/>
    <w:semiHidden/>
    <w:unhideWhenUsed/>
    <w:rsid w:val="00F662A8"/>
    <w:rPr>
      <w:sz w:val="16"/>
      <w:szCs w:val="16"/>
    </w:rPr>
  </w:style>
  <w:style w:type="character" w:styleId="Hyperlink">
    <w:name w:val="Hyperlink"/>
    <w:uiPriority w:val="99"/>
    <w:rsid w:val="00F662A8"/>
    <w:rPr>
      <w:color w:val="0000FF"/>
      <w:u w:val="single"/>
    </w:rPr>
  </w:style>
  <w:style w:type="paragraph" w:styleId="CommentText">
    <w:name w:val="annotation text"/>
    <w:basedOn w:val="Normal"/>
    <w:link w:val="CommentTextChar"/>
    <w:uiPriority w:val="99"/>
    <w:unhideWhenUsed/>
    <w:rsid w:val="00F662A8"/>
    <w:pPr>
      <w:suppressAutoHyphens/>
      <w:spacing w:after="0" w:line="240" w:lineRule="auto"/>
    </w:pPr>
    <w:rPr>
      <w:rFonts w:ascii="Times New Roman" w:eastAsia="Times New Roman" w:hAnsi="Times New Roman" w:cs="Times New Roman"/>
      <w:sz w:val="20"/>
      <w:szCs w:val="20"/>
      <w:lang w:val="hr-HR" w:eastAsia="zh-CN"/>
    </w:rPr>
  </w:style>
  <w:style w:type="character" w:customStyle="1" w:styleId="CommentTextChar">
    <w:name w:val="Comment Text Char"/>
    <w:basedOn w:val="DefaultParagraphFont"/>
    <w:link w:val="CommentText"/>
    <w:uiPriority w:val="99"/>
    <w:rsid w:val="00F662A8"/>
    <w:rPr>
      <w:rFonts w:ascii="Times New Roman" w:eastAsia="Times New Roman" w:hAnsi="Times New Roman" w:cs="Times New Roman"/>
      <w:sz w:val="20"/>
      <w:szCs w:val="20"/>
      <w:lang w:val="hr-HR" w:eastAsia="zh-CN"/>
    </w:rPr>
  </w:style>
  <w:style w:type="character" w:customStyle="1" w:styleId="BodyTextChar">
    <w:name w:val="Body Text Char"/>
    <w:basedOn w:val="DefaultParagraphFont"/>
    <w:link w:val="BodyText"/>
    <w:rsid w:val="00F662A8"/>
    <w:rPr>
      <w:rFonts w:ascii="Arial" w:eastAsia="Arial" w:hAnsi="Arial" w:cs="Arial"/>
    </w:rPr>
  </w:style>
  <w:style w:type="character" w:customStyle="1" w:styleId="Tablecaption">
    <w:name w:val="Table caption_"/>
    <w:basedOn w:val="DefaultParagraphFont"/>
    <w:link w:val="Tablecaption0"/>
    <w:rsid w:val="00F662A8"/>
    <w:rPr>
      <w:rFonts w:ascii="Arial" w:eastAsia="Arial" w:hAnsi="Arial" w:cs="Arial"/>
    </w:rPr>
  </w:style>
  <w:style w:type="character" w:customStyle="1" w:styleId="Other">
    <w:name w:val="Other_"/>
    <w:basedOn w:val="DefaultParagraphFont"/>
    <w:link w:val="Other0"/>
    <w:rsid w:val="00F662A8"/>
    <w:rPr>
      <w:rFonts w:ascii="Arial" w:eastAsia="Arial" w:hAnsi="Arial" w:cs="Arial"/>
    </w:rPr>
  </w:style>
  <w:style w:type="paragraph" w:styleId="BodyText">
    <w:name w:val="Body Text"/>
    <w:basedOn w:val="Normal"/>
    <w:link w:val="BodyTextChar"/>
    <w:qFormat/>
    <w:rsid w:val="00F662A8"/>
    <w:pPr>
      <w:widowControl w:val="0"/>
      <w:spacing w:after="100" w:line="269" w:lineRule="auto"/>
    </w:pPr>
    <w:rPr>
      <w:rFonts w:ascii="Arial" w:eastAsia="Arial" w:hAnsi="Arial" w:cs="Arial"/>
      <w:lang w:eastAsia="en-US"/>
    </w:rPr>
  </w:style>
  <w:style w:type="character" w:customStyle="1" w:styleId="BodyTextChar1">
    <w:name w:val="Body Text Char1"/>
    <w:basedOn w:val="DefaultParagraphFont"/>
    <w:uiPriority w:val="99"/>
    <w:semiHidden/>
    <w:rsid w:val="00F662A8"/>
    <w:rPr>
      <w:rFonts w:ascii="Calibri" w:eastAsia="Calibri" w:hAnsi="Calibri" w:cs="Calibri"/>
      <w:lang w:val="en" w:eastAsia="en-GB"/>
    </w:rPr>
  </w:style>
  <w:style w:type="paragraph" w:customStyle="1" w:styleId="Tablecaption0">
    <w:name w:val="Table caption"/>
    <w:basedOn w:val="Normal"/>
    <w:link w:val="Tablecaption"/>
    <w:rsid w:val="00F662A8"/>
    <w:pPr>
      <w:widowControl w:val="0"/>
      <w:spacing w:after="0" w:line="269" w:lineRule="auto"/>
    </w:pPr>
    <w:rPr>
      <w:rFonts w:ascii="Arial" w:eastAsia="Arial" w:hAnsi="Arial" w:cs="Arial"/>
      <w:lang w:eastAsia="en-US"/>
    </w:rPr>
  </w:style>
  <w:style w:type="paragraph" w:customStyle="1" w:styleId="Other0">
    <w:name w:val="Other"/>
    <w:basedOn w:val="Normal"/>
    <w:link w:val="Other"/>
    <w:rsid w:val="00F662A8"/>
    <w:pPr>
      <w:widowControl w:val="0"/>
      <w:spacing w:after="100" w:line="269" w:lineRule="auto"/>
    </w:pPr>
    <w:rPr>
      <w:rFonts w:ascii="Arial" w:eastAsia="Arial" w:hAnsi="Arial" w:cs="Arial"/>
      <w:lang w:eastAsia="en-US"/>
    </w:rPr>
  </w:style>
  <w:style w:type="table" w:styleId="TableGrid">
    <w:name w:val="Table Grid"/>
    <w:basedOn w:val="TableNormal"/>
    <w:uiPriority w:val="39"/>
    <w:rsid w:val="00F66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0F66"/>
    <w:pPr>
      <w:spacing w:before="240" w:after="0" w:line="259" w:lineRule="auto"/>
      <w:outlineLvl w:val="9"/>
    </w:pPr>
    <w:rPr>
      <w:sz w:val="32"/>
      <w:szCs w:val="32"/>
    </w:rPr>
  </w:style>
  <w:style w:type="paragraph" w:styleId="TOC2">
    <w:name w:val="toc 2"/>
    <w:basedOn w:val="Normal"/>
    <w:next w:val="Normal"/>
    <w:autoRedefine/>
    <w:uiPriority w:val="39"/>
    <w:unhideWhenUsed/>
    <w:rsid w:val="00560F66"/>
    <w:pPr>
      <w:spacing w:after="100"/>
      <w:ind w:left="220"/>
    </w:pPr>
  </w:style>
  <w:style w:type="paragraph" w:styleId="TOC1">
    <w:name w:val="toc 1"/>
    <w:basedOn w:val="Normal"/>
    <w:next w:val="Normal"/>
    <w:autoRedefine/>
    <w:uiPriority w:val="39"/>
    <w:unhideWhenUsed/>
    <w:rsid w:val="00560F66"/>
    <w:pPr>
      <w:spacing w:after="100"/>
    </w:pPr>
  </w:style>
  <w:style w:type="paragraph" w:styleId="Header">
    <w:name w:val="header"/>
    <w:basedOn w:val="Normal"/>
    <w:link w:val="HeaderChar"/>
    <w:uiPriority w:val="99"/>
    <w:unhideWhenUsed/>
    <w:rsid w:val="005D4A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690"/>
    <w:rPr>
      <w:rFonts w:ascii="Calibri" w:eastAsia="Calibri" w:hAnsi="Calibri" w:cs="Calibri"/>
      <w:lang w:val="en" w:eastAsia="en-GB"/>
    </w:rPr>
  </w:style>
  <w:style w:type="paragraph" w:styleId="Footer">
    <w:name w:val="footer"/>
    <w:basedOn w:val="Normal"/>
    <w:link w:val="FooterChar"/>
    <w:uiPriority w:val="99"/>
    <w:unhideWhenUsed/>
    <w:rsid w:val="005D4A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690"/>
    <w:rPr>
      <w:rFonts w:ascii="Calibri" w:eastAsia="Calibri" w:hAnsi="Calibri" w:cs="Calibri"/>
      <w:lang w:val="en" w:eastAsia="en-GB"/>
    </w:rPr>
  </w:style>
  <w:style w:type="character" w:styleId="UnresolvedMention">
    <w:name w:val="Unresolved Mention"/>
    <w:basedOn w:val="DefaultParagraphFont"/>
    <w:uiPriority w:val="99"/>
    <w:semiHidden/>
    <w:unhideWhenUsed/>
    <w:rsid w:val="00C9269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62C6F"/>
    <w:pPr>
      <w:suppressAutoHyphens w:val="0"/>
      <w:spacing w:after="200"/>
    </w:pPr>
    <w:rPr>
      <w:rFonts w:ascii="Calibri" w:eastAsia="Calibri" w:hAnsi="Calibri" w:cs="Calibri"/>
      <w:b/>
      <w:bCs/>
      <w:lang w:val="en" w:eastAsia="en-GB"/>
    </w:rPr>
  </w:style>
  <w:style w:type="character" w:customStyle="1" w:styleId="CommentSubjectChar">
    <w:name w:val="Comment Subject Char"/>
    <w:basedOn w:val="CommentTextChar"/>
    <w:link w:val="CommentSubject"/>
    <w:uiPriority w:val="99"/>
    <w:semiHidden/>
    <w:rsid w:val="00862C6F"/>
    <w:rPr>
      <w:rFonts w:ascii="Calibri" w:eastAsia="Calibri" w:hAnsi="Calibri" w:cs="Calibri"/>
      <w:b/>
      <w:bCs/>
      <w:sz w:val="20"/>
      <w:szCs w:val="20"/>
      <w:lang w:val="en" w:eastAsia="en-GB"/>
    </w:rPr>
  </w:style>
  <w:style w:type="character" w:styleId="Mention">
    <w:name w:val="Mention"/>
    <w:basedOn w:val="DefaultParagraphFont"/>
    <w:uiPriority w:val="99"/>
    <w:unhideWhenUsed/>
    <w:rsid w:val="00440D56"/>
    <w:rPr>
      <w:color w:val="2B579A"/>
      <w:shd w:val="clear" w:color="auto" w:fill="E1DFDD"/>
    </w:rPr>
  </w:style>
  <w:style w:type="paragraph" w:styleId="EndnoteText">
    <w:name w:val="endnote text"/>
    <w:basedOn w:val="Normal"/>
    <w:link w:val="EndnoteTextChar"/>
    <w:uiPriority w:val="99"/>
    <w:semiHidden/>
    <w:unhideWhenUsed/>
    <w:rsid w:val="00254E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54E91"/>
    <w:rPr>
      <w:rFonts w:ascii="Calibri" w:eastAsia="Calibri" w:hAnsi="Calibri" w:cs="Calibri"/>
      <w:sz w:val="20"/>
      <w:szCs w:val="20"/>
      <w:lang w:val="en" w:eastAsia="en-GB"/>
    </w:rPr>
  </w:style>
  <w:style w:type="character" w:styleId="EndnoteReference">
    <w:name w:val="endnote reference"/>
    <w:basedOn w:val="DefaultParagraphFont"/>
    <w:uiPriority w:val="99"/>
    <w:semiHidden/>
    <w:unhideWhenUsed/>
    <w:rsid w:val="00254E91"/>
    <w:rPr>
      <w:vertAlign w:val="superscript"/>
    </w:rPr>
  </w:style>
  <w:style w:type="character" w:styleId="FollowedHyperlink">
    <w:name w:val="FollowedHyperlink"/>
    <w:basedOn w:val="DefaultParagraphFont"/>
    <w:uiPriority w:val="99"/>
    <w:semiHidden/>
    <w:unhideWhenUsed/>
    <w:rsid w:val="00C1055A"/>
    <w:rPr>
      <w:color w:val="96607D" w:themeColor="followedHyperlink"/>
      <w:u w:val="single"/>
    </w:rPr>
  </w:style>
  <w:style w:type="paragraph" w:customStyle="1" w:styleId="Default">
    <w:name w:val="Default"/>
    <w:rsid w:val="00372F7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74F4B"/>
    <w:rPr>
      <w:rFonts w:ascii="Times New Roman" w:hAnsi="Times New Roman" w:cs="Times New Roman"/>
      <w:sz w:val="24"/>
      <w:szCs w:val="24"/>
    </w:rPr>
  </w:style>
  <w:style w:type="paragraph" w:styleId="Revision">
    <w:name w:val="Revision"/>
    <w:hidden/>
    <w:uiPriority w:val="99"/>
    <w:semiHidden/>
    <w:rsid w:val="000A735A"/>
    <w:pPr>
      <w:spacing w:after="0" w:line="240" w:lineRule="auto"/>
    </w:pPr>
    <w:rPr>
      <w:lang w:val="en" w:eastAsia="en-GB"/>
    </w:rPr>
  </w:style>
  <w:style w:type="paragraph" w:styleId="TOC3">
    <w:name w:val="toc 3"/>
    <w:basedOn w:val="Normal"/>
    <w:next w:val="Normal"/>
    <w:autoRedefine/>
    <w:uiPriority w:val="39"/>
    <w:unhideWhenUsed/>
    <w:rsid w:val="00C92EF2"/>
    <w:pPr>
      <w:spacing w:after="100"/>
      <w:ind w:left="440"/>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0" w:type="dxa"/>
        <w:right w:w="10" w:type="dxa"/>
      </w:tblCellMar>
    </w:tblPr>
  </w:style>
  <w:style w:type="character" w:styleId="Emphasis">
    <w:name w:val="Emphasis"/>
    <w:basedOn w:val="DefaultParagraphFont"/>
    <w:uiPriority w:val="20"/>
    <w:qFormat/>
    <w:rsid w:val="00E300D7"/>
    <w:rPr>
      <w:i/>
      <w:iCs/>
    </w:rPr>
  </w:style>
  <w:style w:type="character" w:styleId="Strong">
    <w:name w:val="Strong"/>
    <w:basedOn w:val="DefaultParagraphFont"/>
    <w:uiPriority w:val="22"/>
    <w:qFormat/>
    <w:rsid w:val="00E300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22978">
      <w:bodyDiv w:val="1"/>
      <w:marLeft w:val="0"/>
      <w:marRight w:val="0"/>
      <w:marTop w:val="0"/>
      <w:marBottom w:val="0"/>
      <w:divBdr>
        <w:top w:val="none" w:sz="0" w:space="0" w:color="auto"/>
        <w:left w:val="none" w:sz="0" w:space="0" w:color="auto"/>
        <w:bottom w:val="none" w:sz="0" w:space="0" w:color="auto"/>
        <w:right w:val="none" w:sz="0" w:space="0" w:color="auto"/>
      </w:divBdr>
      <w:divsChild>
        <w:div w:id="1830486293">
          <w:marLeft w:val="0"/>
          <w:marRight w:val="0"/>
          <w:marTop w:val="0"/>
          <w:marBottom w:val="0"/>
          <w:divBdr>
            <w:top w:val="none" w:sz="0" w:space="0" w:color="auto"/>
            <w:left w:val="none" w:sz="0" w:space="0" w:color="auto"/>
            <w:bottom w:val="none" w:sz="0" w:space="0" w:color="auto"/>
            <w:right w:val="none" w:sz="0" w:space="0" w:color="auto"/>
          </w:divBdr>
        </w:div>
      </w:divsChild>
    </w:div>
    <w:div w:id="104036960">
      <w:bodyDiv w:val="1"/>
      <w:marLeft w:val="0"/>
      <w:marRight w:val="0"/>
      <w:marTop w:val="0"/>
      <w:marBottom w:val="0"/>
      <w:divBdr>
        <w:top w:val="none" w:sz="0" w:space="0" w:color="auto"/>
        <w:left w:val="none" w:sz="0" w:space="0" w:color="auto"/>
        <w:bottom w:val="none" w:sz="0" w:space="0" w:color="auto"/>
        <w:right w:val="none" w:sz="0" w:space="0" w:color="auto"/>
      </w:divBdr>
    </w:div>
    <w:div w:id="176428892">
      <w:bodyDiv w:val="1"/>
      <w:marLeft w:val="0"/>
      <w:marRight w:val="0"/>
      <w:marTop w:val="0"/>
      <w:marBottom w:val="0"/>
      <w:divBdr>
        <w:top w:val="none" w:sz="0" w:space="0" w:color="auto"/>
        <w:left w:val="none" w:sz="0" w:space="0" w:color="auto"/>
        <w:bottom w:val="none" w:sz="0" w:space="0" w:color="auto"/>
        <w:right w:val="none" w:sz="0" w:space="0" w:color="auto"/>
      </w:divBdr>
    </w:div>
    <w:div w:id="363869379">
      <w:bodyDiv w:val="1"/>
      <w:marLeft w:val="0"/>
      <w:marRight w:val="0"/>
      <w:marTop w:val="0"/>
      <w:marBottom w:val="0"/>
      <w:divBdr>
        <w:top w:val="none" w:sz="0" w:space="0" w:color="auto"/>
        <w:left w:val="none" w:sz="0" w:space="0" w:color="auto"/>
        <w:bottom w:val="none" w:sz="0" w:space="0" w:color="auto"/>
        <w:right w:val="none" w:sz="0" w:space="0" w:color="auto"/>
      </w:divBdr>
    </w:div>
    <w:div w:id="369578231">
      <w:bodyDiv w:val="1"/>
      <w:marLeft w:val="0"/>
      <w:marRight w:val="0"/>
      <w:marTop w:val="0"/>
      <w:marBottom w:val="0"/>
      <w:divBdr>
        <w:top w:val="none" w:sz="0" w:space="0" w:color="auto"/>
        <w:left w:val="none" w:sz="0" w:space="0" w:color="auto"/>
        <w:bottom w:val="none" w:sz="0" w:space="0" w:color="auto"/>
        <w:right w:val="none" w:sz="0" w:space="0" w:color="auto"/>
      </w:divBdr>
    </w:div>
    <w:div w:id="478575117">
      <w:bodyDiv w:val="1"/>
      <w:marLeft w:val="0"/>
      <w:marRight w:val="0"/>
      <w:marTop w:val="0"/>
      <w:marBottom w:val="0"/>
      <w:divBdr>
        <w:top w:val="none" w:sz="0" w:space="0" w:color="auto"/>
        <w:left w:val="none" w:sz="0" w:space="0" w:color="auto"/>
        <w:bottom w:val="none" w:sz="0" w:space="0" w:color="auto"/>
        <w:right w:val="none" w:sz="0" w:space="0" w:color="auto"/>
      </w:divBdr>
    </w:div>
    <w:div w:id="549656023">
      <w:bodyDiv w:val="1"/>
      <w:marLeft w:val="0"/>
      <w:marRight w:val="0"/>
      <w:marTop w:val="0"/>
      <w:marBottom w:val="0"/>
      <w:divBdr>
        <w:top w:val="none" w:sz="0" w:space="0" w:color="auto"/>
        <w:left w:val="none" w:sz="0" w:space="0" w:color="auto"/>
        <w:bottom w:val="none" w:sz="0" w:space="0" w:color="auto"/>
        <w:right w:val="none" w:sz="0" w:space="0" w:color="auto"/>
      </w:divBdr>
    </w:div>
    <w:div w:id="762728264">
      <w:bodyDiv w:val="1"/>
      <w:marLeft w:val="0"/>
      <w:marRight w:val="0"/>
      <w:marTop w:val="0"/>
      <w:marBottom w:val="0"/>
      <w:divBdr>
        <w:top w:val="none" w:sz="0" w:space="0" w:color="auto"/>
        <w:left w:val="none" w:sz="0" w:space="0" w:color="auto"/>
        <w:bottom w:val="none" w:sz="0" w:space="0" w:color="auto"/>
        <w:right w:val="none" w:sz="0" w:space="0" w:color="auto"/>
      </w:divBdr>
    </w:div>
    <w:div w:id="830603385">
      <w:bodyDiv w:val="1"/>
      <w:marLeft w:val="0"/>
      <w:marRight w:val="0"/>
      <w:marTop w:val="0"/>
      <w:marBottom w:val="0"/>
      <w:divBdr>
        <w:top w:val="none" w:sz="0" w:space="0" w:color="auto"/>
        <w:left w:val="none" w:sz="0" w:space="0" w:color="auto"/>
        <w:bottom w:val="none" w:sz="0" w:space="0" w:color="auto"/>
        <w:right w:val="none" w:sz="0" w:space="0" w:color="auto"/>
      </w:divBdr>
    </w:div>
    <w:div w:id="846795145">
      <w:bodyDiv w:val="1"/>
      <w:marLeft w:val="0"/>
      <w:marRight w:val="0"/>
      <w:marTop w:val="0"/>
      <w:marBottom w:val="0"/>
      <w:divBdr>
        <w:top w:val="none" w:sz="0" w:space="0" w:color="auto"/>
        <w:left w:val="none" w:sz="0" w:space="0" w:color="auto"/>
        <w:bottom w:val="none" w:sz="0" w:space="0" w:color="auto"/>
        <w:right w:val="none" w:sz="0" w:space="0" w:color="auto"/>
      </w:divBdr>
    </w:div>
    <w:div w:id="878395348">
      <w:bodyDiv w:val="1"/>
      <w:marLeft w:val="0"/>
      <w:marRight w:val="0"/>
      <w:marTop w:val="0"/>
      <w:marBottom w:val="0"/>
      <w:divBdr>
        <w:top w:val="none" w:sz="0" w:space="0" w:color="auto"/>
        <w:left w:val="none" w:sz="0" w:space="0" w:color="auto"/>
        <w:bottom w:val="none" w:sz="0" w:space="0" w:color="auto"/>
        <w:right w:val="none" w:sz="0" w:space="0" w:color="auto"/>
      </w:divBdr>
    </w:div>
    <w:div w:id="966816277">
      <w:bodyDiv w:val="1"/>
      <w:marLeft w:val="0"/>
      <w:marRight w:val="0"/>
      <w:marTop w:val="0"/>
      <w:marBottom w:val="0"/>
      <w:divBdr>
        <w:top w:val="none" w:sz="0" w:space="0" w:color="auto"/>
        <w:left w:val="none" w:sz="0" w:space="0" w:color="auto"/>
        <w:bottom w:val="none" w:sz="0" w:space="0" w:color="auto"/>
        <w:right w:val="none" w:sz="0" w:space="0" w:color="auto"/>
      </w:divBdr>
    </w:div>
    <w:div w:id="1019938082">
      <w:bodyDiv w:val="1"/>
      <w:marLeft w:val="0"/>
      <w:marRight w:val="0"/>
      <w:marTop w:val="0"/>
      <w:marBottom w:val="0"/>
      <w:divBdr>
        <w:top w:val="none" w:sz="0" w:space="0" w:color="auto"/>
        <w:left w:val="none" w:sz="0" w:space="0" w:color="auto"/>
        <w:bottom w:val="none" w:sz="0" w:space="0" w:color="auto"/>
        <w:right w:val="none" w:sz="0" w:space="0" w:color="auto"/>
      </w:divBdr>
    </w:div>
    <w:div w:id="1073165986">
      <w:bodyDiv w:val="1"/>
      <w:marLeft w:val="0"/>
      <w:marRight w:val="0"/>
      <w:marTop w:val="0"/>
      <w:marBottom w:val="0"/>
      <w:divBdr>
        <w:top w:val="none" w:sz="0" w:space="0" w:color="auto"/>
        <w:left w:val="none" w:sz="0" w:space="0" w:color="auto"/>
        <w:bottom w:val="none" w:sz="0" w:space="0" w:color="auto"/>
        <w:right w:val="none" w:sz="0" w:space="0" w:color="auto"/>
      </w:divBdr>
    </w:div>
    <w:div w:id="1076705505">
      <w:bodyDiv w:val="1"/>
      <w:marLeft w:val="0"/>
      <w:marRight w:val="0"/>
      <w:marTop w:val="0"/>
      <w:marBottom w:val="0"/>
      <w:divBdr>
        <w:top w:val="none" w:sz="0" w:space="0" w:color="auto"/>
        <w:left w:val="none" w:sz="0" w:space="0" w:color="auto"/>
        <w:bottom w:val="none" w:sz="0" w:space="0" w:color="auto"/>
        <w:right w:val="none" w:sz="0" w:space="0" w:color="auto"/>
      </w:divBdr>
      <w:divsChild>
        <w:div w:id="761530020">
          <w:marLeft w:val="0"/>
          <w:marRight w:val="0"/>
          <w:marTop w:val="0"/>
          <w:marBottom w:val="0"/>
          <w:divBdr>
            <w:top w:val="none" w:sz="0" w:space="0" w:color="auto"/>
            <w:left w:val="none" w:sz="0" w:space="0" w:color="auto"/>
            <w:bottom w:val="none" w:sz="0" w:space="0" w:color="auto"/>
            <w:right w:val="none" w:sz="0" w:space="0" w:color="auto"/>
          </w:divBdr>
        </w:div>
      </w:divsChild>
    </w:div>
    <w:div w:id="1171799333">
      <w:bodyDiv w:val="1"/>
      <w:marLeft w:val="0"/>
      <w:marRight w:val="0"/>
      <w:marTop w:val="0"/>
      <w:marBottom w:val="0"/>
      <w:divBdr>
        <w:top w:val="none" w:sz="0" w:space="0" w:color="auto"/>
        <w:left w:val="none" w:sz="0" w:space="0" w:color="auto"/>
        <w:bottom w:val="none" w:sz="0" w:space="0" w:color="auto"/>
        <w:right w:val="none" w:sz="0" w:space="0" w:color="auto"/>
      </w:divBdr>
    </w:div>
    <w:div w:id="1295214266">
      <w:bodyDiv w:val="1"/>
      <w:marLeft w:val="0"/>
      <w:marRight w:val="0"/>
      <w:marTop w:val="0"/>
      <w:marBottom w:val="0"/>
      <w:divBdr>
        <w:top w:val="none" w:sz="0" w:space="0" w:color="auto"/>
        <w:left w:val="none" w:sz="0" w:space="0" w:color="auto"/>
        <w:bottom w:val="none" w:sz="0" w:space="0" w:color="auto"/>
        <w:right w:val="none" w:sz="0" w:space="0" w:color="auto"/>
      </w:divBdr>
    </w:div>
    <w:div w:id="1299845970">
      <w:bodyDiv w:val="1"/>
      <w:marLeft w:val="0"/>
      <w:marRight w:val="0"/>
      <w:marTop w:val="0"/>
      <w:marBottom w:val="0"/>
      <w:divBdr>
        <w:top w:val="none" w:sz="0" w:space="0" w:color="auto"/>
        <w:left w:val="none" w:sz="0" w:space="0" w:color="auto"/>
        <w:bottom w:val="none" w:sz="0" w:space="0" w:color="auto"/>
        <w:right w:val="none" w:sz="0" w:space="0" w:color="auto"/>
      </w:divBdr>
    </w:div>
    <w:div w:id="1415515694">
      <w:bodyDiv w:val="1"/>
      <w:marLeft w:val="0"/>
      <w:marRight w:val="0"/>
      <w:marTop w:val="0"/>
      <w:marBottom w:val="0"/>
      <w:divBdr>
        <w:top w:val="none" w:sz="0" w:space="0" w:color="auto"/>
        <w:left w:val="none" w:sz="0" w:space="0" w:color="auto"/>
        <w:bottom w:val="none" w:sz="0" w:space="0" w:color="auto"/>
        <w:right w:val="none" w:sz="0" w:space="0" w:color="auto"/>
      </w:divBdr>
    </w:div>
    <w:div w:id="1522738641">
      <w:bodyDiv w:val="1"/>
      <w:marLeft w:val="0"/>
      <w:marRight w:val="0"/>
      <w:marTop w:val="0"/>
      <w:marBottom w:val="0"/>
      <w:divBdr>
        <w:top w:val="none" w:sz="0" w:space="0" w:color="auto"/>
        <w:left w:val="none" w:sz="0" w:space="0" w:color="auto"/>
        <w:bottom w:val="none" w:sz="0" w:space="0" w:color="auto"/>
        <w:right w:val="none" w:sz="0" w:space="0" w:color="auto"/>
      </w:divBdr>
    </w:div>
    <w:div w:id="1574121526">
      <w:bodyDiv w:val="1"/>
      <w:marLeft w:val="0"/>
      <w:marRight w:val="0"/>
      <w:marTop w:val="0"/>
      <w:marBottom w:val="0"/>
      <w:divBdr>
        <w:top w:val="none" w:sz="0" w:space="0" w:color="auto"/>
        <w:left w:val="none" w:sz="0" w:space="0" w:color="auto"/>
        <w:bottom w:val="none" w:sz="0" w:space="0" w:color="auto"/>
        <w:right w:val="none" w:sz="0" w:space="0" w:color="auto"/>
      </w:divBdr>
    </w:div>
    <w:div w:id="1717510323">
      <w:bodyDiv w:val="1"/>
      <w:marLeft w:val="0"/>
      <w:marRight w:val="0"/>
      <w:marTop w:val="0"/>
      <w:marBottom w:val="0"/>
      <w:divBdr>
        <w:top w:val="none" w:sz="0" w:space="0" w:color="auto"/>
        <w:left w:val="none" w:sz="0" w:space="0" w:color="auto"/>
        <w:bottom w:val="none" w:sz="0" w:space="0" w:color="auto"/>
        <w:right w:val="none" w:sz="0" w:space="0" w:color="auto"/>
      </w:divBdr>
    </w:div>
    <w:div w:id="1722168820">
      <w:bodyDiv w:val="1"/>
      <w:marLeft w:val="0"/>
      <w:marRight w:val="0"/>
      <w:marTop w:val="0"/>
      <w:marBottom w:val="0"/>
      <w:divBdr>
        <w:top w:val="none" w:sz="0" w:space="0" w:color="auto"/>
        <w:left w:val="none" w:sz="0" w:space="0" w:color="auto"/>
        <w:bottom w:val="none" w:sz="0" w:space="0" w:color="auto"/>
        <w:right w:val="none" w:sz="0" w:space="0" w:color="auto"/>
      </w:divBdr>
    </w:div>
    <w:div w:id="1812627271">
      <w:bodyDiv w:val="1"/>
      <w:marLeft w:val="0"/>
      <w:marRight w:val="0"/>
      <w:marTop w:val="0"/>
      <w:marBottom w:val="0"/>
      <w:divBdr>
        <w:top w:val="none" w:sz="0" w:space="0" w:color="auto"/>
        <w:left w:val="none" w:sz="0" w:space="0" w:color="auto"/>
        <w:bottom w:val="none" w:sz="0" w:space="0" w:color="auto"/>
        <w:right w:val="none" w:sz="0" w:space="0" w:color="auto"/>
      </w:divBdr>
      <w:divsChild>
        <w:div w:id="1638728430">
          <w:marLeft w:val="0"/>
          <w:marRight w:val="0"/>
          <w:marTop w:val="0"/>
          <w:marBottom w:val="0"/>
          <w:divBdr>
            <w:top w:val="none" w:sz="0" w:space="0" w:color="auto"/>
            <w:left w:val="none" w:sz="0" w:space="0" w:color="auto"/>
            <w:bottom w:val="none" w:sz="0" w:space="0" w:color="auto"/>
            <w:right w:val="none" w:sz="0" w:space="0" w:color="auto"/>
          </w:divBdr>
        </w:div>
      </w:divsChild>
    </w:div>
    <w:div w:id="1944410399">
      <w:bodyDiv w:val="1"/>
      <w:marLeft w:val="0"/>
      <w:marRight w:val="0"/>
      <w:marTop w:val="0"/>
      <w:marBottom w:val="0"/>
      <w:divBdr>
        <w:top w:val="none" w:sz="0" w:space="0" w:color="auto"/>
        <w:left w:val="none" w:sz="0" w:space="0" w:color="auto"/>
        <w:bottom w:val="none" w:sz="0" w:space="0" w:color="auto"/>
        <w:right w:val="none" w:sz="0" w:space="0" w:color="auto"/>
      </w:divBdr>
    </w:div>
    <w:div w:id="1993675774">
      <w:bodyDiv w:val="1"/>
      <w:marLeft w:val="0"/>
      <w:marRight w:val="0"/>
      <w:marTop w:val="0"/>
      <w:marBottom w:val="0"/>
      <w:divBdr>
        <w:top w:val="none" w:sz="0" w:space="0" w:color="auto"/>
        <w:left w:val="none" w:sz="0" w:space="0" w:color="auto"/>
        <w:bottom w:val="none" w:sz="0" w:space="0" w:color="auto"/>
        <w:right w:val="none" w:sz="0" w:space="0" w:color="auto"/>
      </w:divBdr>
    </w:div>
    <w:div w:id="2088187963">
      <w:bodyDiv w:val="1"/>
      <w:marLeft w:val="0"/>
      <w:marRight w:val="0"/>
      <w:marTop w:val="0"/>
      <w:marBottom w:val="0"/>
      <w:divBdr>
        <w:top w:val="none" w:sz="0" w:space="0" w:color="auto"/>
        <w:left w:val="none" w:sz="0" w:space="0" w:color="auto"/>
        <w:bottom w:val="none" w:sz="0" w:space="0" w:color="auto"/>
        <w:right w:val="none" w:sz="0" w:space="0" w:color="auto"/>
      </w:divBdr>
      <w:divsChild>
        <w:div w:id="905529596">
          <w:marLeft w:val="0"/>
          <w:marRight w:val="0"/>
          <w:marTop w:val="0"/>
          <w:marBottom w:val="0"/>
          <w:divBdr>
            <w:top w:val="none" w:sz="0" w:space="0" w:color="auto"/>
            <w:left w:val="none" w:sz="0" w:space="0" w:color="auto"/>
            <w:bottom w:val="none" w:sz="0" w:space="0" w:color="auto"/>
            <w:right w:val="none" w:sz="0" w:space="0" w:color="auto"/>
          </w:divBdr>
        </w:div>
      </w:divsChild>
    </w:div>
    <w:div w:id="2102411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svg"/><Relationship Id="rId42" Type="http://schemas.openxmlformats.org/officeDocument/2006/relationships/header" Target="header3.xml"/><Relationship Id="rId47" Type="http://schemas.openxmlformats.org/officeDocument/2006/relationships/hyperlink" Target="https://doi.org/10.46697/001c.92945" TargetMode="External"/><Relationship Id="rId63" Type="http://schemas.openxmlformats.org/officeDocument/2006/relationships/hyperlink" Target="https://doi.org/10.1038/s41433-022-02246-8" TargetMode="External"/><Relationship Id="rId68" Type="http://schemas.openxmlformats.org/officeDocument/2006/relationships/hyperlink" Target="https://doi.org/10.1167/iovs.06-0220" TargetMode="External"/><Relationship Id="rId16" Type="http://schemas.openxmlformats.org/officeDocument/2006/relationships/image" Target="media/image5.jpg"/><Relationship Id="rId11" Type="http://schemas.openxmlformats.org/officeDocument/2006/relationships/hyperlink" Target="https://www.iapb.world/2030_in_sigh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hyperlink" Target="https://www.retina-international.org/resources/action4amd" TargetMode="External"/><Relationship Id="rId53" Type="http://schemas.openxmlformats.org/officeDocument/2006/relationships/hyperlink" Target="https://doi.org/10.1136/bjophthalmol-2017-311258" TargetMode="External"/><Relationship Id="rId58" Type="http://schemas.openxmlformats.org/officeDocument/2006/relationships/hyperlink" Target="https://doi.org/10.1016/S2214-109X(13)70145-1" TargetMode="External"/><Relationship Id="rId66" Type="http://schemas.openxmlformats.org/officeDocument/2006/relationships/hyperlink" Target="https://doi.org/10.1007/s00592-017-0974-1" TargetMode="External"/><Relationship Id="rId74" Type="http://schemas.openxmlformats.org/officeDocument/2006/relationships/hyperlink" Target="https://doi.org/10.1007/s40123-024-01011-0"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eupati.eu/" TargetMode="External"/><Relationship Id="rId19" Type="http://schemas.openxmlformats.org/officeDocument/2006/relationships/image" Target="media/image8.sv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 Id="rId48" Type="http://schemas.openxmlformats.org/officeDocument/2006/relationships/hyperlink" Target="https://www.iapb.org/vision-atlas" TargetMode="External"/><Relationship Id="rId56" Type="http://schemas.openxmlformats.org/officeDocument/2006/relationships/hyperlink" Target="https://doi.org/10.1016/j.ophtha.2012.10.036" TargetMode="External"/><Relationship Id="rId64" Type="http://schemas.openxmlformats.org/officeDocument/2006/relationships/hyperlink" Target="https://doi.org/10.3928/23258160-20180731-06" TargetMode="External"/><Relationship Id="rId69" Type="http://schemas.openxmlformats.org/officeDocument/2006/relationships/hyperlink" Target="https://doi.org/10.1016/j.preteyeres.2020.100900" TargetMode="External"/><Relationship Id="rId77" Type="http://schemas.openxmlformats.org/officeDocument/2006/relationships/hyperlink" Target="https://www.erdc.info/" TargetMode="External"/><Relationship Id="rId8" Type="http://schemas.openxmlformats.org/officeDocument/2006/relationships/webSettings" Target="webSettings.xml"/><Relationship Id="rId51" Type="http://schemas.openxmlformats.org/officeDocument/2006/relationships/hyperlink" Target="https://doi.org/10.1097/APO.0000000000001051" TargetMode="External"/><Relationship Id="rId72" Type="http://schemas.openxmlformats.org/officeDocument/2006/relationships/hyperlink" Target="https://stm.fi/en/rehabilitation"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46" Type="http://schemas.openxmlformats.org/officeDocument/2006/relationships/hyperlink" Target="https://www.ilo.org/sites/default/files/wcmsp5/groups/public/@ed_protect/@protrav/@safework/documents/publication/wcms_892937.pdf" TargetMode="External"/><Relationship Id="rId59" Type="http://schemas.openxmlformats.org/officeDocument/2006/relationships/hyperlink" Target="https://doi.org/10.1186/s12889-024-21047-x" TargetMode="External"/><Relationship Id="rId67" Type="http://schemas.openxmlformats.org/officeDocument/2006/relationships/hyperlink" Target="https://doi.org/10.1167/iovs.12-10557" TargetMode="External"/><Relationship Id="rId20" Type="http://schemas.openxmlformats.org/officeDocument/2006/relationships/image" Target="media/image9.png"/><Relationship Id="rId41" Type="http://schemas.openxmlformats.org/officeDocument/2006/relationships/footer" Target="footer2.xml"/><Relationship Id="rId54" Type="http://schemas.openxmlformats.org/officeDocument/2006/relationships/hyperlink" Target="https://doi.org/10.1167/iovs.65.4.1" TargetMode="External"/><Relationship Id="rId62" Type="http://schemas.openxmlformats.org/officeDocument/2006/relationships/hyperlink" Target="https://doi.org/10.2147/OPTH.S119199" TargetMode="External"/><Relationship Id="rId70" Type="http://schemas.openxmlformats.org/officeDocument/2006/relationships/hyperlink" Target="https://www.ncbi.nlm.nih.gov/books/NBK458293/" TargetMode="External"/><Relationship Id="rId75" Type="http://schemas.openxmlformats.org/officeDocument/2006/relationships/hyperlink" Target="https://doi.org/10.1101/2024.10.25.2431616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oi.org/10.1016/S2214-109X(20)30488-5" TargetMode="External"/><Relationship Id="rId57" Type="http://schemas.openxmlformats.org/officeDocument/2006/relationships/hyperlink" Target="https://www.iapb.org/wp-content/uploads/2021/07/UNFoV-Resolution-Summary-July2021.pdf"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www.who.int/publications/i/item/9789241516570" TargetMode="External"/><Relationship Id="rId52" Type="http://schemas.openxmlformats.org/officeDocument/2006/relationships/hyperlink" Target="https://www.macular.org/about-macular-degeneration/wet-macular-degeneration" TargetMode="External"/><Relationship Id="rId60" Type="http://schemas.openxmlformats.org/officeDocument/2006/relationships/hyperlink" Target="https://doi.org/10.1038/s41433-023-02825-8" TargetMode="External"/><Relationship Id="rId65" Type="http://schemas.openxmlformats.org/officeDocument/2006/relationships/hyperlink" Target="https://doi.org/10.1136/bjophthalmol-2014-305702" TargetMode="External"/><Relationship Id="rId73" Type="http://schemas.openxmlformats.org/officeDocument/2006/relationships/hyperlink" Target="https://doi.org/10.1186/s12913-017-2143-6" TargetMode="External"/><Relationship Id="rId78" Type="http://schemas.openxmlformats.org/officeDocument/2006/relationships/hyperlink" Target="https://www.asrs.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svg"/><Relationship Id="rId18" Type="http://schemas.openxmlformats.org/officeDocument/2006/relationships/image" Target="media/image7.png"/><Relationship Id="rId39" Type="http://schemas.openxmlformats.org/officeDocument/2006/relationships/header" Target="header2.xml"/><Relationship Id="rId34" Type="http://schemas.openxmlformats.org/officeDocument/2006/relationships/image" Target="media/image23.svg"/><Relationship Id="rId50" Type="http://schemas.openxmlformats.org/officeDocument/2006/relationships/hyperlink" Target="https://doi.org/10.1016/S0140-6736(21)00579-2" TargetMode="External"/><Relationship Id="rId55" Type="http://schemas.openxmlformats.org/officeDocument/2006/relationships/hyperlink" Target="https://doi.org/10.1167/iovs.13-13458" TargetMode="External"/><Relationship Id="rId76" Type="http://schemas.openxmlformats.org/officeDocument/2006/relationships/hyperlink" Target="https://www.evicr.net/about/organisation/" TargetMode="External"/><Relationship Id="rId7" Type="http://schemas.openxmlformats.org/officeDocument/2006/relationships/settings" Target="settings.xml"/><Relationship Id="rId71" Type="http://schemas.openxmlformats.org/officeDocument/2006/relationships/hyperlink" Target="https://doi.org/10.1007/s00417-024-06397-3" TargetMode="External"/><Relationship Id="rId2" Type="http://schemas.openxmlformats.org/officeDocument/2006/relationships/customXml" Target="../customXml/item2.xml"/><Relationship Id="rId29" Type="http://schemas.openxmlformats.org/officeDocument/2006/relationships/image" Target="media/image1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wWAQAQM0R0ThTXBw0lnlbKF0zcg==">CgMxLjAaGgoBMBIVChMIBCoPCgtBQUFCcWJScTBTURABGhoKATESFQoTCAQqDwoLQUFBQnFiUnEwU1EQARoaCgEyEhUKEwgEKg8KC0FBQUJxYlJxMFNREAEaGgoBMxIVChMIBCoPCgtBQUFCcWJScTBTURABGi8KATQSKgoTCAQqDwoLQUFBQnFiUnEwU1EQBAoTCAQqDwoLQUFBQnFiUnEwU1EQARoaCgE1EhUKEwgEKg8KC0FBQUJxYlJxMFNREAEaGgoBNhIVChMIBCoPCgtBQUFCcWJScTBTURABGhoKATcSFQoTCAQqDwoLQUFBQnFiUnEwU1EQARoaCgE4EhUKEwgEKg8KC0FBQUJxYlJxMFNREAEaGgoBORIVChMIBCoPCgtBQUFCcWJScTBTURABGhsKAjEwEhUKEwgEKg8KC0FBQUJxYlJxMFNREAEaMAoCMTESKgoTCAQqDwoLQUFBQnFiUnEwU1EQBAoTCAQqDwoLQUFBQnFiUnEwU1EQARobCgIxMhIVChMIBCoPCgtBQUFCcWJScTBTURABGhsKAjEzEhUKEwgEKg8KC0FBQUJxYlJxMFNREAEaGwoCMTQSFQoTCAQqDwoLQUFBQnFiUnEwU1EQARobCgIxNRIVChMIBCoPCgtBQUFCcWJScTBTURABGjAKAjE2EioKEwgEKg8KC0FBQUJxYlJxMFNREAQKEwgEKg8KC0FBQUJxYlJxMFNREAEaGwoCMTcSFQoTCAQqDwoLQUFBQnFadmozM2MQARobCgIxOBIVChMIBCoPCgtBQUFCcVp2ajMzYxABGjAKAjE5EioKEwgEKg8KC0FBQUJxWnZqMzNjEAQKEwgEKg8KC0FBQUJxWnZqMzNjEAEaNgoCMjASMAoEOgIIAwoTCAQqDwoLQUFBQnFadmozM2MQBAoTCAQqDwoLQUFBQnFadmozM2MQAxobCgIyMhIVChMIBCoPCgtBQUFCcWJScTBNYxABGhsKAjIzEhUKEwgEKg8KC0FBQUJxYlJxME1jEAIaGwoCMjUSFQoTCAQqDwoLQUFBQnFiUnEwUG8QAhobCgIyNhIVChMIBCoPCgtBQUFCcWJScTBQbxACGhsKAjI3EhUKEwgEKg8KC0FBQUJxYlJxME13EAIaGwoCMjgSFQoTCAQqDwoLQUFBQnFiUnEwTTAQARowCgIyORIqChMIBCoPCgtBQUFCcWJScTBNMBAEChMIBCoPCgtBQUFCcWJScTBNMBABGhsKAjMyEhUKEwgEKg8KC0FBQUJxYlJxME5JEAEaGwoCMzQSFQoTCAQqDwoLQUFBQnFiUnEwTlkQAhobCgIzNRIVChMIBCoPCgtBQUFCcWJScTBOWRACGhsKAjM2EhUKEwgEKg8KC0FBQUJxYlJxME5ZEAIaGwoCMzcSFQoTCAQqDwoLQUFBQnFiUnEwTlkQARobCgIzOBIVChMIBCoPCgtBQUFCcWJScTBOYxABGhsKAjM5EhUKEwgEKg8KC0FBQUJxYlJxME5jEAIaGwoCNDASFQoTCAQqDwoLQUFBQnFiUnEwTmcQARobCgI0MRIVChMIBCoPCgtBQUFCcWJScTBOaxACGhsKAjQyEhUKEwgEKg8KC0FBQUJxYlJxME53EAEaGwoCNDMSFQoTCAQqDwoLQUFBQnFiUnEwTncQAhobCgI0NBIVChMIBCoPCgtBQUFCcWJScTBPSRABGhsKAjQ1EhUKEwgEKg8KC0FBQUJxYlJxME9JEAIaGwoCNDYSFQoTCAQqDwoLQUFBQnFiUnEwT1UQARobCgI0OBIVChMIBCoPCgtBQUFCcVp2ajMzZxABGhsKAjQ5EhUKEwgEKg8KC0FBQUJxWnZqMzNnEAEaMAoCNTASKgoTCAQqDwoLQUFBQnFadmozM2cQBAoTCAQqDwoLQUFBQnFadmozM2cQARobCgI1MRIVChMIBCoPCgtBQUFCcVp2ajMzZxACGhsKAjUyEhUKEwgEKg8KC0FBQUJxYlJxME80EAEaMAoCNTMSKgoTCAQqDwoLQUFBQnFiUnEwTzQQBAoTCAQqDwoLQUFBQnFiUnEwTzQQARobCgI1NBIVChMIBCoPCgtBQUFCcWJScTBPNBACGikKAzE2MBIiCiAIBCocCgtBQUFCckFvY1M1QRAIGgtBQUFCckFvY1M1QRopCgMxNjESIgogCAQqHAoLQUFBQnJBb2NTNUUQCBoLQUFBQnJBb2NTNUUaKQoDMTQ2EiIKIAgEKhwKC0FBQUJyQTNkbzFzEAgaC0FBQUJyQTNkbzFzGikKAzE0NxIiCiAIBCocCgtBQUFCcWJScTBRRRAIGgtBQUFCcWJScTBRRRopCgMxNDgSIgogCAQqHAoLQUFBQnFiUnEwTkEQCBoLQUFBQnFiUnEwTkEaKQoDMTQ5EiIKIAgEKhwKC0FBQUJxYlJxMFBBEAgaC0FBQUJxYlJxMFBBGikKAzE1MBIiCiAIBCocCgtBQUFCcHpJUWR3WRAIGgtBQUFCcHpJUWR3WRopCgMxNTESIgogCAQqHAoLQUFBQnJBb2NTNFEQCBoLQUFBQnJBb2NTNFEaKQoDMTUyEiIKIAgEKhwKC0FBQUJxYlJxMFFNEAgaC0FBQUJxYlJxMFFNGikKAzE1MxIiCiAIBCocCgtBQUFCckFvY1M0NBAIGgtBQUFCckFvY1M0NBopCgMxNTQSIgogCAQqHAoLQUFBQnFiUnEwUVkQCBoLQUFBQnFiUnEwUVkaKQoDMTU1EiIKIAgEKhwKC0FBQUJyQW9jUzV3EAgaC0FBQUJyQW9jUzV3GikKAzE1NhIiCiAIBCocCgtBQUFCckFvY1M0dxAIGgtBQUFCckFvY1M0dxopCgMxNTcSIgogCAQqHAoLQUFBQnJBb2NTNDgQCBoLQUFBQnJBb2NTNDgaKQoDMTU4EiIKIAgEKhwKC0FBQUJxYlJxMFZZEAgaC0FBQUJxYlJxMFZZGikKAzE1ORIiCiAIBCocCgtBQUFCcWJScTBNbxAIGgtBQUFCcWJScTBNbyKiCwoLQUFBQnJBM2RvMXMS+QcKC0FBQUJyQTNkbzFzEgtBQUFCckEzZG8xcxrcAQoJdGV4dC9odG1sEs4BV2h5IHRoaXMgc2VsZWN0aW9uIG9mIGNvdW50cmllcz8gQ2FuIGNhbiB3ZSBtYWtlIHN1cmUgZWFjaCBjb3VudHJ5IGlzIG1lbnRpb25lZCAob3V0IG9mIHRoZSAxMiBwYXJ0aWNpcGF0aW5nIGNvdW50cmllcykgd2hpY2ggd2lsbCBtYWtlIHRoZSBkb2N1bWVudCByZWxldmFudCB0byB0aGVpciBzaXR1YXRpb24gYW5kIHVzYWJsZSBhdCBuYXRpb25hbCBsZXZlbC4i3QEKCnRleHQvcGxhaW4SzgFXaHkgdGhpcyBzZWxlY3Rpb24gb2YgY291bnRyaWVzPyBDYW4gY2FuIHdlIG1ha2Ugc3VyZSBlYWNoIGNvdW50cnkgaXMgbWVudGlvbmVkIChvdXQgb2YgdGhlIDEyIHBhcnRpY2lwYXRpbmcgY291bnRyaWVzKSB3aGljaCB3aWxsIG1ha2UgdGhlIGRvY3VtZW50IHJlbGV2YW50IHRvIHRoZWlyIHNpdHVhdGlvbiBhbmQgdXNhYmxlIGF0IG5hdGlvbmFsIGxldmVsLiqRAQoPRGlhbmEgRGltaXRyb3ZhGmEvL2xoMy5nb29nbGV1c2VyY29udGVudC5jb20vYS9BQ2c4b2NMMmhuN3ppbnFQSHlSblUwZ05sdGFFREE5SnlWbVJjRkxzRXdVeWZhcThCdWNSZExtbD1zNTAtYy1rLW5vIhUxMTA2ODg4ODc1MjM5MzYwOTgwMzkoATgASAAw4LfLypMzOOC3y8qTM0oUCgl0ZXh0L2h0bWwSB0NvdW50cnlaDDNjYXU5Z3V5ZmVtaHJ4Cg9EaWFuYSBEaW1pdHJvdmEaYwphLy9saDMuZ29vZ2xldXNlcmNvbnRlbnQuY29tL2EvQUNnOG9jTDJobjd6aW5xUEh5Um5VMGdObHRhRURBOUp5Vm1SY0ZMc0V3VXlmYXE4QnVjUmRMbWw9czUwLWMtay1ubyABeACaAQYIABAAGACqAdEBEs4BV2h5IHRoaXMgc2VsZWN0aW9uIG9mIGNvdW50cmllcz8gQ2FuIGNhbiB3ZSBtYWtlIHN1cmUgZWFjaCBjb3VudHJ5IGlzIG1lbnRpb25lZCAob3V0IG9mIHRoZSAxMiBwYXJ0aWNpcGF0aW5nIGNvdW50cmllcykgd2hpY2ggd2lsbCBtYWtlIHRoZSBkb2N1bWVudCByZWxldmFudCB0byB0aGVpciBzaXR1YXRpb24gYW5kIHVzYWJsZSBhdCBuYXRpb25hbCBsZXZlbC4Y4LfLypMzIOC3y8qTMypwCiExekdfUHJHV28wVjNyUzlmQ2U3S3UtVWp5dEdYV0JKUEMSSwoKdGV4dC9wbGFpbhI9RFJBRlRfVHJhbnNmb3JtaW5nIENhcmUgSW4gQU1EIGFuZCBETUVfRDJfMjAyNUF1ZzI1X0FYT04uZG9jeEKWAltbWzU3MiwwLG51bGwsMzE0OTNdLFs1NzIsNyxudWxsLDMxNTAwXV0sbnVsbCxbW1syMCxbWzAuMDk0MTE3NjQ3MDU4ODIzNTMsMC43MzI3NzkwOTczODcxNzM0LDAuMTU5NjYzODY1NTQ2MjE4NDgsMC43NDgyMTg1MjczMTU5MTQ1XV1dLFsyMCxbWzAuMDk0MTE3NjQ3MDU4ODIzNTMsMC43MzI3NzkwOTczODcxNzM0LDAuMTU5NjYzODY1NTQ2MjE4NDgsMC43NDgyMTg1MjczMTU5MTQ1XV1dXV0sIjBCMnVEVWdaMDZLR3hNVU5HVUhNd1ExUXhUMmhRSzIxdU0xTjBOMGM0ZUhKSlZXUlpQUSJdIuMHCgtBQUFCcWJScTBRRRKcBgoLQUFBQnFiUnEwUUUSC0FBQUJxYlJxMFFFGpsBCgl0ZXh0L2h0bWwSjQFXZSBzaG91bGQgbWFrZSBpdCBldmVuIG1vcmUgY2xlYXIgdGhhdCBEUiBhbmQgRE1FIGlzIHRoZSBsZWFkaW5nIGNhdXNlIG9mIHByZXZlbnRhYmxlIGJsaW5kbmVzcyBpbiB3b3JraW5nIGFnZSBhZHVsdHMuIEFtZW5kIHdpdGggYSBzZW50ZW5jZT8inAEKCnRleHQvcGxhaW4SjQFXZSBzaG91bGQgbWFrZSBpdCBldmVuIG1vcmUgY2xlYXIgdGhhdCBEUiBhbmQgRE1FIGlzIHRoZSBsZWFkaW5nIGNhdXNlIG9mIHByZXZlbnRhYmxlIGJsaW5kbmVzcyBpbiB3b3JraW5nIGFnZSBhZHVsdHMuIEFtZW5kIHdpdGggYSBzZW50ZW5jZT8qjAEKCkpvenNlZiBHYWwaYS8vbGgzLmdvb2dsZXVzZXJjb250ZW50LmNvbS9hLS9BTFYtVWpWRjhxckVteHQteS1CV1NONGQ2dDVRVFIyaXdBM0FYdlN3RzJiSlUzeklDLWkwcWJrPXM1MC1jLWstbm8iFTEwNTA0MDE4Njc5NDAxMTMyMzI1MygAOABIADCFoNarkDM45+rZq5AzWgx0cDZ6dTVrcG0wODdycwoKSm96c2VmIEdhbBpjCmEvL2xoMy5nb29nbGV1c2VyY29udGVudC5jb20vYS0vQUxWLVVqVkY4cXJFbXh0LXktQldTTjRkNnQ1UVRSMml3QTNBWHZTd0cyYkpVM3pJQy1pMHFiaz1zNTAtYy1rLW5vIAB4AJoBBggAEAAYAKoBkAESjQFXZSBzaG91bGQgbWFrZSBpdCBldmVuIG1vcmUgY2xlYXIgdGhhdCBEUiBhbmQgRE1FIGlzIHRoZSBsZWFkaW5nIGNhdXNlIG9mIHByZXZlbnRhYmxlIGJsaW5kbmVzcyBpbiB3b3JraW5nIGFnZSBhZHVsdHMuIEFtZW5kIHdpdGggYSBzZW50ZW5jZT+wAQC4AQEYhaDWq5AzIOfq2auQMypwCiExekdfUHJHV28wVjNyUzlmQ2U3S3UtVWp5dEdYV0JKUEMSSwoKdGV4dC9wbGFpbhI9RFJBRlRfVHJhbnNmb3JtaW5nIENhcmUgSW4gQU1EIGFuZCBETUVfRDJfMjAyNUF1ZzI1X0FYT04uZG9jeDAAQjNbW1tudWxsLG51bGwsbnVsbCwiODM3MiJdLFtudWxsLG51bGwsbnVsbCwiODM4NCJdXV0iuAwKC0FBQUJxYlJxME5BEvEKCgtBQUFCcWJScTBOQRILQUFBQnFiUnEwTkEa4gIKCXRleHQvaHRtbBLUAkFsc28gaW1wb3J0YW50bHk6IGxhdGVyIHN0YXJ0IHRvIHRyZWF0bWVudCBhbHNvIGxlYWRzIHRvIHdvcnNlIGJhc2VsaW5lIGNoYXJhY3RlcmlzdGljcyBhbmQgYWR2YW5jZWQgZGlzZWFzZSBmb3IgdGhlIHBhdGllbnQsIGxlYWRpbmcgdG8gd29yc2Ugb3ZlcmFsbCBvdXRjb21lcyBhbmQgcG90ZW50aWFsbHkgbW9yZSBmcmVxdWVudGx5IG5lZWRlZCBjYXJlLCB3aGljaCBwb3NlcyBhIGhpZ2hlciBidXJkZW4gb24gaGVhbHRoIGNhcmUgc3lzdGVtcy4gVWx0aW1hdGVseSBsYWNrIG9mIHRpbWVseSBjYXJlIGxlYWRzIHRvIGxvc3Mgb2YgdmlzaW9uIC8gaXJyZXZlcnNpYmxlIHZpc2lvbiBkYW1hZ2Ui4wIKCnRleHQvcGxhaW4S1AJBbHNvIGltcG9ydGFudGx5OiBsYXRlciBzdGFydCB0byB0cmVhdG1lbnQgYWxzbyBsZWFkcyB0byB3b3JzZSBiYXNlbGluZSBjaGFyYWN0ZXJpc3RpY3MgYW5kIGFkdmFuY2VkIGRpc2Vhc2UgZm9yIHRoZSBwYXRpZW50LCBsZWFkaW5nIHRvIHdvcnNlIG92ZXJhbGwgb3V0Y29tZXMgYW5kIHBvdGVudGlhbGx5IG1vcmUgZnJlcXVlbnRseSBuZWVkZWQgY2FyZSwgd2hpY2ggcG9zZXMgYSBoaWdoZXIgYnVyZGVuIG9uIGhlYWx0aCBjYXJlIHN5c3RlbXMuIFVsdGltYXRlbHkgbGFjayBvZiB0aW1lbHkgY2FyZSBsZWFkcyB0byBsb3NzIG9mIHZpc2lvbiAvIGlycmV2ZXJzaWJsZSB2aXNpb24gZGFtYWdlKowBCgpKb3pzZWYgR2FsGmEvL2xoMy5nb29nbGV1c2VyY29udGVudC5jb20vYS0vQUxWLVVqVkY4cXJFbXh0LXktQldTTjRkNnQ1UVRSMml3QTNBWHZTd0cyYkpVM3pJQy1pMHFiaz1zNTAtYy1rLW5vIhUxMDUwNDAxODY3OTQwMTEzMjMyNTMoADgASAAwpMKdqpAzOKTCnaqQM1oMbmkyOW00dml1dWkwcnMKCkpvenNlZiBHYWwaYwphLy9saDMuZ29vZ2xldXNlcmNvbnRlbnQuY29tL2EtL0FMVi1ValZGOHFyRW14dC15LUJXU040ZDZ0NVFUUjJpd0EzQVh2U3dHMmJKVTN6SUMtaTBxYms9czUwLWMtay1ubyAAeACaAQYIABAAGACqAdcCEtQCQWxzbyBpbXBvcnRhbnRseTogbGF0ZXIgc3RhcnQgdG8gdHJlYXRtZW50IGFsc28gbGVhZHMgdG8gd29yc2UgYmFzZWxpbmUgY2hhcmFjdGVyaXN0aWNzIGFuZCBhZHZhbmNlZCBkaXNlYXNlIGZvciB0aGUgcGF0aWVudCwgbGVhZGluZyB0byB3b3JzZSBvdmVyYWxsIG91dGNvbWVzIGFuZCBwb3RlbnRpYWxseSBtb3JlIGZyZXF1ZW50bHkgbmVlZGVkIGNhcmUsIHdoaWNoIHBvc2VzIGEgaGlnaGVyIGJ1cmRlbiBvbiBoZWFsdGggY2FyZSBzeXN0ZW1zLiBVbHRpbWF0ZWx5IGxhY2sgb2YgdGltZWx5IGNhcmUgbGVhZHMgdG8gbG9zcyBvZiB2aXNpb24gLyBpcnJldmVyc2libGUgdmlzaW9uIGRhbWFnZbABALgBARikwp2qkDMgpMKdqpAzKnAKITF6R19QckdXbzBWM3JTOWZDZTdLdS1Vanl0R1hXQkpQQxJLCgp0ZXh0L3BsYWluEj1EUkFGVF9UcmFuc2Zvcm1pbmcgQ2FyZSBJbiBBTUQgYW5kIERNRV9EMl8yMDI1QXVnMjVfQVhPTi5kb2N4MABCM1tbW251bGwsbnVsbCxudWxsLCI2ODgzIl0sW251bGwsbnVsbCxudWxsLCI2OTM1Il1dXSL9BAoLQUFBQnFiUnEwUEEStAMKC0FBQUJxYlJxMFBBEgtBQUFCcWJScTBQQRokCgl0ZXh0L2h0bWwSF0NhbiB3ZSBhZGQgYSByZWZlcmVuY2U/IiUKCnRleHQvcGxhaW4SF0NhbiB3ZSBhZGQgYSByZWZlcmVuY2U/KowBCgpKb3pzZWYgR2FsGmEvL2xoMy5nb29nbGV1c2VyY29udGVudC5jb20vYS0vQUxWLVVqVkY4cXJFbXh0LXktQldTTjRkNnQ1UVRSMml3QTNBWHZTd0cyYkpVM3pJQy1pMHFiaz1zNTAtYy1rLW5vIhUxMDUwNDAxODY3OTQwMTEzMjMyNTMoADgASAAwhvulq5AzOIb7pauQM1oMNGdoNGpocjlvanEwcnMKCkpvenNlZiBHYWwaYwphLy9saDMuZ29vZ2xldXNlcmNvbnRlbnQuY29tL2EtL0FMVi1ValZGOHFyRW14dC15LUJXU040ZDZ0NVFUUjJpd0EzQVh2U3dHMmJKVTN6SUMtaTBxYms9czUwLWMtay1ubyAAeACaAQYIABAAGACqARkSF0NhbiB3ZSBhZGQgYSByZWZlcmVuY2U/sAEAuAEBGIb7pauQMyCG+6WrkDMqcAohMXpHX1ByR1dvMFYzclM5ZkNlN0t1LVVqeXRHWFdCSlBDEksKCnRleHQvcGxhaW4SPURSQUZUX1RyYW5zZm9ybWluZyBDYXJlIEluIEFNRCBhbmQgRE1FX0QyXzIwMjVBdWcyNV9BWE9OLmRvY3gwAEI1W1tbbnVsbCxudWxsLG51bGwsIjQwNTMwIl0sW251bGwsbnVsbCxudWxsLCI0MTA4OSJdXV0i/QMKC0FBQUJweklRZHdZErYCCgtBQUFCcHpJUWR3WRILQUFBQnB6SVFkd1kaJwoJdGV4dC9odG1sEhpUbyBiZSBhdXRob3JlZCBieSB0aGUgSUFQQiIoCgp0ZXh0L3BsYWluEhpUbyBiZSBhdXRob3JlZCBieSB0aGUgSUFQQipBCghBWE9OIENUUxo1Ly9zc2wuZ3N0YXRpYy5jb20vZG9jcy9jb21tb24vYmx1ZV9zaWxob3VldHRlOTYtMC5wbmcw4KfckI4zOM+y+q2OM3JDCghBWE9OIENUUxo3CjUvL3NzbC5nc3RhdGljLmNvbS9kb2NzL2NvbW1vbi9ibHVlX3NpbGhvdWV0dGU5Ni0wLnBuZ3gAiAEBmgEGCAAQABgAqgEcEhpUbyBiZSBhdXRob3JlZCBieSB0aGUgSUFQQrABALgBARjgp9yQjjMgz7L6rY4zKnAKITF6R19QckdXbzBWM3JTOWZDZTdLdS1Vanl0R1hXQkpQQxJLCgp0ZXh0L3BsYWluEj1EUkFGVF9UcmFuc2Zvcm1pbmcgQ2FyZSBJbiBBTUQgYW5kIERNRV9EMl8yMDI1QXVnMjVfQVhPTi5kb2N4MABCM1tbW251bGwsbnVsbCxudWxsLCIxNjM2Il0sW251bGwsbnVsbCxudWxsLCIxNjQ0Il1dXSK6CgoLQUFBQnJBb2NTNFESkQcKC0FBQUJyQW9jUzRREgtBQUFCckFvY1M0URqyAQoJdGV4dC9odG1sEqQBTWF5YmUgaXQgaXMgd29ydGggaXQgdG8gdW5kZXJsaW5lIHRoYXQgaW4gQ0VFIHRoZSAlIG9mIHRyZWF0ZWQgaXMgbGVzcyB0aGFuIDE1JSBvZiBhbGwgd2hvIHBvdGVudGlhbGx5IG5lZWQgdHJlYXRtZW50IC0gbXVjaCBsb3dlciB0aGFuIGluIG1vc3Qgb2YgdGhlIEVVIGNvdW50cmllcy4iswEKCnRleHQvcGxhaW4SpAFNYXliZSBpdCBpcyB3b3J0aCBpdCB0byB1bmRlcmxpbmUgdGhhdCBpbiBDRUUgdGhlICUgb2YgdHJlYXRlZCBpcyBsZXNzIHRoYW4gMTUlIG9mIGFsbCB3aG8gcG90ZW50aWFsbHkgbmVlZCB0cmVhdG1lbnQgLSBtdWNoIGxvd2VyIHRoYW4gaW4gbW9zdCBvZiB0aGUgRVUgY291bnRyaWVzLiqRAQoPRGlhbmEgRGltaXRyb3ZhGmEvL2xoMy5nb29nbGV1c2VyY29udGVudC5jb20vYS9BQ2c4b2NMMmhuN3ppbnFQSHlSblUwZ05sdGFFREE5SnlWbVJjRkxzRXdVeWZhcThCdWNSZExtbD1zNTAtYy1rLW5vIhUxMTA2ODg4ODc1MjM5MzYwOTgwMzkoATgASAAwkeaZupMzOJHmmbqTM0okCgl0ZXh0L2h0bWwSF3NpZ25pZmljYW50IGNhcmUgZ2FwLiA0WgxkdnJ6cGhucjV1b2FyeAoPRGlhbmEgRGltaXRyb3ZhGmMKYS8vbGgzLmdvb2dsZXVzZXJjb250ZW50LmNvbS9hL0FDZzhvY0wyaG43emlucVBIeVJuVTBnTmx0YUVEQTlKeVZtUmNGTHNFd1V5ZmFxOEJ1Y1JkTG1sPXM1MC1jLWstbm8gAXgAmgEGCAAQABgAqgGnARKkAU1heWJlIGl0IGlzIHdvcnRoIGl0IHRvIHVuZGVybGluZSB0aGF0IGluIENFRSB0aGUgJSBvZiB0cmVhdGVkIGlzIGxlc3MgdGhhbiAxNSUgb2YgYWxsIHdobyBwb3RlbnRpYWxseSBuZWVkIHRyZWF0bWVudCAtIG11Y2ggbG93ZXIgdGhhbiBpbiBtb3N0IG9mIHRoZSBFVSBjb3VudHJpZXMusAEAuAEAGJHmmbqTMyCR5pm6kzMqcAohMXpHX1ByR1dvMFYzclM5ZkNlN0t1LVVqeXRHWFdCSlBDEksKCnRleHQvcGxhaW4SPURSQUZUX1RyYW5zZm9ybWluZyBDYXJlIEluIEFNRCBhbmQgRE1FX0QyXzIwMjVBdWcyNV9BWE9OLmRvY3gwAEKUAltbWzEzNiwxMDYsbnVsbCw0Njc3XSxbMTM3LDEsbnVsbCw0Njk3XV0sbnVsbCxbW1s2LFtbMC4wODczOTQ5NTc5ODMxOTMyNywwLjkyMzk5MDQ5ODgxMjM1MTUsMC4xNjQ3MDU4ODIzNTI5NDExNywwLjkzOTQyOTkyODc0MTA5MjddXV0sWzYsW1swLjIzNjk3NDc4OTkxNTk2NjM4LDAuOTIzOTkwNDk4ODEyMzUxNSwwLjI0MjAxNjgwNjcyMjY4OTA4LDAuOTM5NDI5OTI4NzQxMDkyN11dXV1dLCIwQjJ1RFVnWjA2S0d4VEN0TU1Xb3ZlVmMwVDNnM2IxVlNMMUpqYzJOdmRFNW9UbmhSUFEiXSL3BwoLQUFBQnFiUnEwUU0SrgYKC0FBQUJxYlJxMFFNEgtBQUFCcWJScTBRTRqhAQoJdGV4dC9odG1sEpMBRW5kcyB2ZXJ5IGFicnVwdGx5LCBtYXliZSByZXBocmFzZS9lbGFib3JhdGUgb24gdGhlIHN5bXB0b21zwqBzb21ld2hhdD8gT3IgbWF5YmUgYWRkIGEgc2VudGVuY2UgYWJvdXQgdGhlIGhvdyBzY3JlZW5pbmcgY2FuIGhlbHAgY2F0Y2ggdGhlc2UgZWFybHkuIqIBCgp0ZXh0L3BsYWluEpMBRW5kcyB2ZXJ5IGFicnVwdGx5LCBtYXliZSByZXBocmFzZS9lbGFib3JhdGUgb24gdGhlIHN5bXB0b21zwqBzb21ld2hhdD8gT3IgbWF5YmUgYWRkIGEgc2VudGVuY2UgYWJvdXQgdGhlIGhvdyBzY3JlZW5pbmcgY2FuIGhlbHAgY2F0Y2ggdGhlc2UgZWFybHkuKowBCgpKb3pzZWYgR2FsGmEvL2xoMy5nb29nbGV1c2VyY29udGVudC5jb20vYS0vQUxWLVVqVkY4cXJFbXh0LXktQldTTjRkNnQ1UVRSMml3QTNBWHZTd0cyYkpVM3pJQy1pMHFiaz1zNTAtYy1rLW5vIhUxMDUwNDAxODY3OTQwMTEzMjMyNTMoADgASAAwlenpq5AzOJXp6auQM1oMaTFqaW5oamhzb24wcnMKCkpvenNlZiBHYWwaYwphLy9saDMuZ29vZ2xldXNlcmNvbnRlbnQuY29tL2EtL0FMVi1ValZGOHFyRW14dC15LUJXU040ZDZ0NVFUUjJpd0EzQVh2U3dHMmJKVTN6SUMtaTBxYms9czUwLWMtay1ubyAAeACaAQYIABAAGACqAZYBEpMBRW5kcyB2ZXJ5IGFicnVwdGx5LCBtYXliZSByZXBocmFzZS9lbGFib3JhdGUgb24gdGhlIHN5bXB0b21zwqBzb21ld2hhdD8gT3IgbWF5YmUgYWRkIGEgc2VudGVuY2UgYWJvdXQgdGhlIGhvdyBzY3JlZW5pbmcgY2FuIGhlbHAgY2F0Y2ggdGhlc2UgZWFybHkusAEAuAEBGJXp6auQMyCV6emrkDMqcAohMXpHX1ByR1dvMFYzclM5ZkNlN0t1LVVqeXRHWFdCSlBDEksKCnRleHQvcGxhaW4SPURSQUZUX1RyYW5zZm9ybWluZyBDYXJlIEluIEFNRCBhbmQgRE1FX0QyXzIwMjVBdWcyNV9BWE9OLmRvY3gwAEI1W1tbbnVsbCxudWxsLG51bGwsIjE4MjQ5Il0sW251bGwsbnVsbCxudWxsLCIxODM2NCJdXV0irQcKC0FBQUJyQW9jUzQ0EoIECgtBQUFCckFvY1M0NBILQUFBQnJBb2NTNDQaNgoJdGV4dC9odG1sEilJJiMzOTtkIHNheTogbW9kZXJhdGUsIGJ1dCBub3QgcmVpbWJ1cnNlZCIzCgp0ZXh0L3BsYWluEiVJJ2Qgc2F5OiBtb2RlcmF0ZSwgYnV0IG5vdCByZWltYnVyc2VkKpEBCg9EaWFuYSBEaW1pdHJvdmEaYS8vbGgzLmdvb2dsZXVzZXJjb250ZW50LmNvbS9hL0FDZzhvY0wyaG43emlucVBIeVJuVTBnTmx0YUVEQTlKeVZtUmNGTHNFd1V5ZmFxOEJ1Y1JkTG1sPXM1MC1jLWstbm8iFTExMDY4ODg4NzUyMzkzNjA5ODAzOSgBOABIADCT2P+6kzM4k9j/upMzShAKCXRleHQvaHRtbBIDTG93WgxiMXZueXl6OGR1bDFyeAoPRGlhbmEgRGltaXRyb3ZhGmMKYS8vbGgzLmdvb2dsZXVzZXJjb250ZW50LmNvbS9hL0FDZzhvY0wyaG43emlucVBIeVJuVTBnTmx0YUVEQTlKeVZtUmNGTHNFd1V5ZmFxOEJ1Y1JkTG1sPXM1MC1jLWstbm8gAXgAmgEGCAAQABgAqgErEilJJiMzOTtkIHNheTogbW9kZXJhdGUsIGJ1dCBub3QgcmVpbWJ1cnNlZLABALgBABiT2P+6kzMgk9j/upMzKnAKITF6R19QckdXbzBWM3JTOWZDZTdLdS1Vanl0R1hXQkpQQxJLCgp0ZXh0L3BsYWluEj1EUkFGVF9UcmFuc2Zvcm1pbmcgQ2FyZSBJbiBBTUQgYW5kIERNRV9EMl8yMDI1QXVnMjVfQVhPTi5kb2N4MABClgJbW1s2MDQsMCxudWxsLDMxODQ1XSxbNjA0LDMsbnVsbCwzMTg0OF1dLG51bGwsW1tbMjEsW1swLjQ5NDExNzY0NzA1ODgyMzU1LDAuMjU0MTU2NzY5NTk2MTk5NTQsMC41Mjc3MzEwOTI0MzY5NzQ4LDAuMjY5NTk2MTk5NTI0OTQwNl1dXSxbMjEsW1swLjQ5NDExNzY0NzA1ODgyMzU1LDAuMjU0MTU2NzY5NTk2MTk5NTQsMC41Mjc3MzEwOTI0MzY5NzQ4LDAuMjY5NTk2MTk5NTI0OTQwNl1dXV1dLCIwQjJ1RFVnWjA2S0d4VEN0TU1Xb3ZlVmMwVDNnM2IxVlNMMUpqYzJOdmRFNW9UbmhSUFEiXSLbCQoLQUFBQnFiUnEwUVkSkggKC0FBQUJxYlJxMFFZEgtBQUFCcWJScTBRWRrtAQoJdGV4dC9odG1sEt8BSW4gSHVuZ2FyeSB0aGXCoG5hdGlvbmFsIHNvY2lhbCBpbnN1cmFuY2UgY292YXJhZ2UgaXMgdGhlIGJpZ2dlc3QgbGltaXRpbmcgZmFjdG9yIGZvciBhY2Nlc3MgdG8gdHJlYXRtZW50IGFuZCBhbHNvIGZvciB0aGUgbGltaXRhdGlvbiBvZiBhbnRpLVZFR0YgdXNlIGluIG9ubHkgYSBzdWJzZXQgb2YgY2xpbmljcy4gQWxzbywgYW50aS1WRUdGIHVzZSBpcyBvbmx5IGxpbWl0ZWQgdG8gQU1ELiLuAQoKdGV4dC9wbGFpbhLfAUluIEh1bmdhcnkgdGhlwqBuYXRpb25hbCBzb2NpYWwgaW5zdXJhbmNlIGNvdmFyYWdlIGlzIHRoZSBiaWdnZXN0IGxpbWl0aW5nIGZhY3RvciBmb3IgYWNjZXNzIHRvIHRyZWF0bWVudCBhbmQgYWxzbyBmb3IgdGhlIGxpbWl0YXRpb24gb2YgYW50aS1WRUdGIHVzZSBpbiBvbmx5IGEgc3Vic2V0IG9mIGNsaW5pY3MuIEFsc28sIGFudGktVkVHRiB1c2UgaXMgb25seSBsaW1pdGVkIHRvIEFNRC4qjAEKCkpvenNlZiBHYWwaYS8vbGgzLmdvb2dsZXVzZXJjb250ZW50LmNvbS9hLS9BTFYtVWpWRjhxckVteHQteS1CV1NONGQ2dDVRVFIyaXdBM0FYdlN3RzJiSlUzeklDLWkwcWJrPXM1MC1jLWstbm8iFTEwNTA0MDE4Njc5NDAxMTMyMzI1MygAOABIADCX0PmrkDM4l9D5q5AzWgxzb3E0dTduZXR5MWtycwoKSm96c2VmIEdhbBpjCmEvL2xoMy5nb29nbGV1c2VyY29udGVudC5jb20vYS0vQUxWLVVqVkY4cXJFbXh0LXktQldTTjRkNnQ1UVRSMml3QTNBWHZTd0cyYkpVM3pJQy1pMHFiaz1zNTAtYy1rLW5vIAB4AJoBBggAEAAYAKoB4gES3wFJbiBIdW5nYXJ5IHRoZcKgbmF0aW9uYWwgc29jaWFsIGluc3VyYW5jZSBjb3ZhcmFnZSBpcyB0aGUgYmlnZ2VzdCBsaW1pdGluZyBmYWN0b3IgZm9yIGFjY2VzcyB0byB0cmVhdG1lbnQgYW5kIGFsc28gZm9yIHRoZSBsaW1pdGF0aW9uIG9mIGFudGktVkVHRiB1c2UgaW4gb25seSBhIHN1YnNldCBvZiBjbGluaWNzLiBBbHNvLCBhbnRpLVZFR0YgdXNlIGlzIG9ubHkgbGltaXRlZCB0byBBTUQusAEAuAEBGJfQ+auQMyCX0PmrkDMqcAohMXpHX1ByR1dvMFYzclM5ZkNlN0t1LVVqeXRHWFdCSlBDEksKCnRleHQvcGxhaW4SPURSQUZUX1RyYW5zZm9ybWluZyBDYXJlIEluIEFNRCBhbmQgRE1FX0QyXzIwMjVBdWcyNV9BWE9OLmRvY3gwAEI1W1tbbnVsbCxudWxsLG51bGwsIjM2NDUwIl0sW251bGwsbnVsbCxudWxsLCIzNjY2NiJdXV0ihQ8KC0FBQUJyQW9jUzV3EtYLCgtBQUFCckFvY1M1dxILQUFBQnJBb2NTNXcaxgMKCXRleHQvaHRtbBK4A0EgZ2VuZXJhbCBjb21tZW50OiBkbyB5b3UgdGhpbmsgd2UgbmVlZCBhIG1lZGljYWwgY2xlYXJhbmNlIG9mIHRoZSB3aG9sZSBkb2N1bWVudCBieSBhIHNwZWNpYWxpc3QgaW4gcmV0aW5hbCBkaXNlYXNlcz8gV2UgY2FuIGFzayBvdXIgUm9jaGUgY29sbGVhZ3VlIFByb2YuIE5hbmN5IEhvbGVrYW1wIDxhIGhyZWY9Imh0dHBzOi8vd3d3Lmdvb2dsZS5jb20vdXJsP3E9aHR0cHM6Ly9vaXMubmV0L25hbmN5LWhvbGVrYW1wLW1kLyZhbXA7c2E9RCZhbXA7c291cmNlPWVkaXRvcnMmYW1wO3VzdD0xNzU3NjA2NTAyNTc3NDc2JmFtcDt1c2c9QU92VmF3MWlGMGpNZGtmSkNzWkFzbUxXM3Y0NiIgZGF0YS1yYXdocmVmPSJodHRwczovL29pcy5uZXQvbmFuY3ktaG9sZWthbXAtbWQvIiB0YXJnZXQ9Il9ibGFuayI+aHR0cHM6Ly9vaXMubmV0L25hbmN5LWhvbGVrYW1wLW1kLzwvYT4uIt0BCgp0ZXh0L3BsYWluEs4BQSBnZW5lcmFsIGNvbW1lbnQ6IGRvIHlvdSB0aGluayB3ZSBuZWVkIGEgbWVkaWNhbCBjbGVhcmFuY2Ugb2YgdGhlIHdob2xlIGRvY3VtZW50IGJ5IGEgc3BlY2lhbGlzdCBpbiByZXRpbmFsIGRpc2Vhc2VzPyBXZSBjYW4gYXNrIG91ciBSb2NoZSBjb2xsZWFndWUgUHJvZi4gTmFuY3kgSG9sZWthbXAgaHR0cHM6Ly9vaXMubmV0L25hbmN5LWhvbGVrYW1wLW1kLy4qkQEKD0RpYW5hIERpbWl0cm92YRphLy9saDMuZ29vZ2xldXNlcmNvbnRlbnQuY29tL2EvQUNnOG9jTDJobjd6aW5xUEh5Um5VMGdObHRhRURBOUp5Vm1SY0ZMc0V3VXlmYXE4QnVjUmRMbWw9czUwLWMtay1ubyIVMTEwNjg4ODg3NTIzOTM2MDk4MDM5KAE4AEgAMNnSybuTMzjZ0sm7kzNKFwoJdGV4dC9odG1sEgpSZWZlcmVuY2VzWgxqcDhyc3lianp5eGZyeAoPRGlhbmEgRGltaXRyb3ZhGmMKYS8vbGgzLmdvb2dsZXVzZXJjb250ZW50LmNvbS9hL0FDZzhvY0wyaG43emlucVBIeVJuVTBnTmx0YUVEQTlKeVZtUmNGTHNFd1V5ZmFxOEJ1Y1JkTG1sPXM1MC1jLWstbm8gAXgAmgEGCAAQABgAqgG7AxK4A0EgZ2VuZXJhbCBjb21tZW50OiBkbyB5b3UgdGhpbmsgd2UgbmVlZCBhIG1lZGljYWwgY2xlYXJhbmNlIG9mIHRoZSB3aG9sZSBkb2N1bWVudCBieSBhIHNwZWNpYWxpc3QgaW4gcmV0aW5hbCBkaXNlYXNlcz8gV2UgY2FuIGFzayBvdXIgUm9jaGUgY29sbGVhZ3VlIFByb2YuIE5hbmN5IEhvbGVrYW1wIDxhIGhyZWY9Imh0dHBzOi8vd3d3Lmdvb2dsZS5jb20vdXJsP3E9aHR0cHM6Ly9vaXMubmV0L25hbmN5LWhvbGVrYW1wLW1kLyZhbXA7c2E9RCZhbXA7c291cmNlPWVkaXRvcnMmYW1wO3VzdD0xNzU3NjA2NTAyNTc3NDc2JmFtcDt1c2c9QU92VmF3MWlGMGpNZGtmSkNzWkFzbUxXM3Y0NiIgZGF0YS1yYXdocmVmPSJodHRwczovL29pcy5uZXQvbmFuY3ktaG9sZWthbXAtbWQvIiB0YXJnZXQ9Il9ibGFuayI+aHR0cHM6Ly9vaXMubmV0L25hbmN5LWhvbGVrYW1wLW1kLzwvYT4usAEAuAEAGNnSybuTMyDZ0sm7kzMqcAohMXpHX1ByR1dvMFYzclM5ZkNlN0t1LVVqeXRHWFdCSlBDEksKCnRleHQvcGxhaW4SPURSQUZUX1RyYW5zZm9ybWluZyBDYXJlIEluIEFNRCBhbmQgRE1FX0QyXzIwMjVBdWcyNV9BWE9OLmRvY3gwAEKaAltbWzMwOCwwLG51bGwsMTMzMDVdLFszMTAsMSxudWxsLDEzMzE3XV0sbnVsbCxbW1sxMSxbWzAuMDg3Mzk0OTU3OTgzMTkzMjcsMC4xMjExNDAxNDI1MTc4MTQ3MywwLjE5NjYzODY1NTQ2MjE4NDg3LDAuMTM2NTc5NTcyNDQ2NTU1ODNdXV0sWzExLFtbMC4wODczOTQ5NTc5ODMxOTMyNywwLjEyMTE0MDE0MjUxNzgxNDczLDAuMTk2NjM4NjU1NDYyMTg0ODcsMC4xMzY1Nzk1NzI0NDY1NTU4M11dXV1dLCIwQjJ1RFVnWjA2S0d4VEN0TU1Xb3ZlVmMwVDNnM2IxVlNMMUpqYzJOdmRFNW9UbmhSUFEiXSLEFQoLQUFBQnJBb2NTNHcSmxIKC0FBQUJyQW9jUzR3EgtBQUFCckFvY1M0dxrtBQoJdGV4dC9odG1sEt8FSXMgaXQgd29ydGggbWVudGlvbmluZyB0aGF0IHRoZXJlIGlzIGEgc3RydWN0dXJlZCBhcHByb2FjaCBvZiBXSE8gdG8gaW50ZWdyYXRlZCBleWUgaGVhbHRoOsKgVGhlIFBhY2thZ2Ugb2YgZXllIGNhcmUgaW50ZXJ2ZW50aW9uc8KgIHByb3ZpZGVzIGEgc2V0IG9mIHJlY29tbWVuZGVkLCBldmlkZW5jZWQtYmFzZWQgZXllIGNhcmU8YnI+aW50ZXJ2ZW50aW9ucyB3aXRoIG1hdGVyaWFsIHJlc291cmNlcyByZXF1aXJlZCBmb3IgaW1wbGVtZW50YXRpb24sPGJyPnByZXNlbnRlZCBhY3Jvc3MgdGhlIGZvbGxvd2luZyBjb250aW51dW0gb2YgY2FyZS4gVGhlIFdQIHNob3VsZCByZWNvbW1lbmQgaXQmIzM5O3MgbmF0aW9uYWwgZW5kb3JzZW1lbnQgYW5kIGludGVncmF0aW9uIHdpdGhpbiB0aGUgaGVhbHRoIHN5c3RlbXMuwqA8YSBocmVmPSJodHRwczovL3d3dy5nb29nbGUuY29tL3VybD9xPWh0dHBzOi8vd3d3Lndoby5pbnQvcHVibGljYXRpb25zL2kvaXRlbS85Nzg5MjQwMDQ4OTU5JmFtcDtzYT1EJmFtcDtzb3VyY2U9ZWRpdG9ycyZhbXA7dXN0PTE3NTc2MDY1MDI1NzYwMzMmYW1wO3VzZz1BT3ZWYXcwNzhtYTU3eV9lM0hSU0lNQS11cXdhIiBkYXRhLXJhd2hyZWY9Imh0dHBzOi8vd3d3Lndoby5pbnQvcHVibGljYXRpb25zL2kvaXRlbS85Nzg5MjQwMDQ4OTU5IiB0YXJnZXQ9Il9ibGFuayI+aHR0cHM6Ly93d3cud2hvLmludC9wdWJsaWNhdGlvbnMvaS9pdGVtLzk3ODkyNDAwNDg5NTk8L2E+ItQDCgp0ZXh0L3BsYWluEsUDSXMgaXQgd29ydGggbWVudGlvbmluZyB0aGF0IHRoZXJlIGlzIGEgc3RydWN0dXJlZCBhcHByb2FjaCBvZiBXSE8gdG8gaW50ZWdyYXRlZCBleWUgaGVhbHRoOsKgVGhlIFBhY2thZ2Ugb2YgZXllIGNhcmUgaW50ZXJ2ZW50aW9uc8KgIHByb3ZpZGVzIGEgc2V0IG9mIHJlY29tbWVuZGVkLCBldmlkZW5jZWQtYmFzZWQgZXllIGNhcmUKaW50ZXJ2ZW50aW9ucyB3aXRoIG1hdGVyaWFsIHJlc291cmNlcyByZXF1aXJlZCBmb3IgaW1wbGVtZW50YXRpb24sCnByZXNlbnRlZCBhY3Jvc3MgdGhlIGZvbGxvd2luZyBjb250aW51dW0gb2YgY2FyZS4gVGhlIFdQIHNob3VsZCByZWNvbW1lbmQgaXQncyBuYXRpb25hbCBlbmRvcnNlbWVudCBhbmQgaW50ZWdyYXRpb24gd2l0aGluIHRoZSBoZWFsdGggc3lzdGVtcy7CoGh0dHBzOi8vd3d3Lndoby5pbnQvcHVibGljYXRpb25zL2kvaXRlbS85Nzg5MjQwMDQ4OTU5KpEBCg9EaWFuYSBEaW1pdHJvdmEaYS8vbGgzLmdvb2dsZXVzZXJjb250ZW50LmNvbS9hL0FDZzhvY0wyaG43emlucVBIeVJuVTBnTmx0YUVEQTlKeVZtUmNGTHNFd1V5ZmFxOEJ1Y1JkTG1sPXM1MC1jLWstbm8iFTExMDY4ODg4NzUyMzkzNjA5ODAzOSgBOABIADCX0/S6kzM4l9P0upMzShcKCXRleHQvaHRtbBIKQ29uY2x1c2lvbloMdDhkdjlqdDMweHo4cngKD0RpYW5hIERpbWl0cm92YRpjCmEvL2xoMy5nb29nbGV1c2VyY29udGVudC5jb20vYS9BQ2c4b2NMMmhuN3ppbnFQSHlSblUwZ05sdGFFREE5SnlWbVJjRkxzRXdVeWZhcThCdWNSZExtbD1zNTAtYy1rLW5vIAF4AJoBBggAEAAYAKoB4gUS3wVJcyBpdCB3b3J0aCBtZW50aW9uaW5nIHRoYXQgdGhlcmUgaXMgYSBzdHJ1Y3R1cmVkIGFwcHJvYWNoIG9mIFdITyB0byBpbnRlZ3JhdGVkIGV5ZSBoZWFsdGg6wqBUaGUgUGFja2FnZSBvZiBleWUgY2FyZSBpbnRlcnZlbnRpb25zwqAgcHJvdmlkZXMgYSBzZXQgb2YgcmVjb21tZW5kZWQsIGV2aWRlbmNlZC1iYXNlZCBleWUgY2FyZTxicj5pbnRlcnZlbnRpb25zIHdpdGggbWF0ZXJpYWwgcmVzb3VyY2VzIHJlcXVpcmVkIGZvciBpbXBsZW1lbnRhdGlvbiw8YnI+cHJlc2VudGVkIGFjcm9zcyB0aGUgZm9sbG93aW5nIGNvbnRpbnV1bSBvZiBjYXJlLiBUaGUgV1Agc2hvdWxkIHJlY29tbWVuZCBpdCYjMzk7cyBuYXRpb25hbCBlbmRvcnNlbWVudCBhbmQgaW50ZWdyYXRpb24gd2l0aGluIHRoZSBoZWFsdGggc3lzdGVtcy7CoDxhIGhyZWY9Imh0dHBzOi8vd3d3Lmdvb2dsZS5jb20vdXJsP3E9aHR0cHM6Ly93d3cud2hvLmludC9wdWJsaWNhdGlvbnMvaS9pdGVtLzk3ODkyNDAwNDg5NTkmYW1wO3NhPUQmYW1wO3NvdXJjZT1lZGl0b3JzJmFtcDt1c3Q9MTc1NzYwNjUwMjU3NjAzMyZhbXA7dXNnPUFPdlZhdzA3OG1hNTd5X2UzSFJTSU1BLXVxd2EiIGRhdGEtcmF3aHJlZj0iaHR0cHM6Ly93d3cud2hvLmludC9wdWJsaWNhdGlvbnMvaS9pdGVtLzk3ODkyNDAwNDg5NTkiIHRhcmdldD0iX2JsYW5rIj5odHRwczovL3d3dy53aG8uaW50L3B1YmxpY2F0aW9ucy9pL2l0ZW0vOTc4OTI0MDA0ODk1OTwvYT6wAQC4AQAYl9P0upMzIJfT9LqTMypwCiExekdfUHJHV28wVjNyUzlmQ2U3S3UtVWp5dEdYV0JKUEMSSwoKdGV4dC9wbGFpbhI9RFJBRlRfVHJhbnNmb3JtaW5nIENhcmUgSW4gQU1EIGFuZCBETUVfRDJfMjAyNUF1ZzI1X0FYT04uZG9jeDAAQpQCW1tbMzA1LDUsbnVsbCwxMjkyNF0sWzMwNiwxLG51bGwsMTI5MzVdXSxudWxsLFtbWzEwLFtbMC4xMjEwMDg0MDMzNjEzNDQ1NCwwLjgzOTY2NzQ1ODQzMjMwNDEsMC4yMDg0MDMzNjEzNDQ1Mzc4LDAuODU1MTA2ODg4MzYxMDQ1Ml1dXSxbMTAsW1swLjEyMTAwODQwMzM2MTM0NDU0LDAuODM5NjY3NDU4NDMyMzA0MSwwLjIwODQwMzM2MTM0NDUzNzgsMC44NTUxMDY4ODgzNjEwNDUyXV1dXV0sIjBCMnVEVWdaMDZLR3hUQ3RNTVdvdmVWYzBUM2czYjFWU0wxSmpjMk52ZEU1b1RuaFJQUSJdItMGCgtBQUFCckFvY1M0OBKpAwoLQUFBQnJBb2NTNDgSC0FBQUJyQW9jUzQ4Gg4KCXRleHQvaHRtbBIBPyIPCgp0ZXh0L3BsYWluEgE/KpEBCg9EaWFuYSBEaW1pdHJvdmEaYS8vbGgzLmdvb2dsZXVzZXJjb250ZW50LmNvbS9hL0FDZzhvY0wyaG43emlucVBIeVJuVTBnTmx0YUVEQTlKeVZtUmNGTHNFd1V5ZmFxOEJ1Y1JkTG1sPXM1MC1jLWstbm8iFTExMDY4ODg4NzUyMzkzNjA5ODAzOSgBOABIADCbmIG7kzM4m5iBu5MzSiwKCXRleHQvaHRtbBIfSGVhdmlseSByZWxpYW50Cm9uIHByaXZhdGUgY2FyZVoLZ3drNzcyaGpsYXRyeAoPRGlhbmEgRGltaXRyb3ZhGmMKYS8vbGgzLmdvb2dsZXVzZXJjb250ZW50LmNvbS9hL0FDZzhvY0wyaG43emlucVBIeVJuVTBnTmx0YUVEQTlKeVZtUmNGTHNFd1V5ZmFxOEJ1Y1JkTG1sPXM1MC1jLWstbm8gAXgAmgEGCAAQABgAqgEDEgE/sAEAuAEAGJuYgbuTMyCbmIG7kzMqcAohMXpHX1ByR1dvMFYzclM5ZkNlN0t1LVVqeXRHWFdCSlBDEksKCnRleHQvcGxhaW4SPURSQUZUX1RyYW5zZm9ybWluZyBDYXJlIEluIEFNRCBhbmQgRE1FX0QyXzIwMjVBdWcyNV9BWE9OLmRvY3gwAEKVAltbWzYwNiwwLG51bGwsMzE4NTFdLFs2MDYsMzEsbnVsbCwzMTg3OF1dLG51bGwsW1tbMjEsW1swLjc2NDcwNTg4MjM1Mjk0MTEsMC4yNTQxNTY3Njk1OTYxOTk1NCwwLjgyNTIxMDA4NDAzMzYxMzQsMC4yNjk1OTYxOTk1MjQ5NDA2XV1dLFsyMSxbWzAuODUwNDIwMTY4MDY3MjI2OSwwLjI3NjcyMjA5MDI2MTI4MjY0LDAuODg1NzE0Mjg1NzE0Mjg1NywwLjI5MjE2MTUyMDE5MDAyMzddXV1dXSwiMEIydURVZ1owNktHeFRDdE1NV292ZVZjMFQzZzNiMVZTTDFKamMyTnZkRTVvVG5oUlBRIl0i4gYKC0FBQUJxYlJxMFZZEpsFCgtBQUFCcWJScTBWWRILQUFBQnFiUnEwVlkacQoJdGV4dC9odG1sEmRUaGUgcGFwZXIgc2hvdWxkIGJlIGZvY3VzZWTCoG9uIEFNRCwgRFIgYW5kIERNRSwgSSB3b3VsZCBub3QgYnJpbmcgaW4gdGhlIHRvcGljIG9mIENhdGFyYWN0cyBhdCBhbGwuInIKCnRleHQvcGxhaW4SZFRoZSBwYXBlciBzaG91bGQgYmUgZm9jdXNlZMKgb24gQU1ELCBEUiBhbmQgRE1FLCBJIHdvdWxkIG5vdCBicmluZyBpbiB0aGUgdG9waWMgb2YgQ2F0YXJhY3RzIGF0IGFsbC4qjAEKCkpvenNlZiBHYWwaYS8vbGgzLmdvb2dsZXVzZXJjb250ZW50LmNvbS9hLS9BTFYtVWpWRjhxckVteHQteS1CV1NONGQ2dDVRVFIyaXdBM0FYdlN3RzJiSlUzeklDLWkwcWJrPXM1MC1jLWstbm8iFTEwNTA0MDE4Njc5NDAxMTMyMzI1MygAOABIADDwuMytkDM48LjMrZAzWgxud2NscWdjZmVuZ3ZycwoKSm96c2VmIEdhbBpjCmEvL2xoMy5nb29nbGV1c2VyY29udGVudC5jb20vYS0vQUxWLVVqVkY4cXJFbXh0LXktQldTTjRkNnQ1UVRSMml3QTNBWHZTd0cyYkpVM3pJQy1pMHFiaz1zNTAtYy1rLW5vIAB4AJoBBggAEAAYAKoBZhJkVGhlIHBhcGVyIHNob3VsZCBiZSBmb2N1c2VkwqBvbiBBTUQsIERSIGFuZCBETUUsIEkgd291bGQgbm90IGJyaW5nIGluIHRoZSB0b3BpYyBvZiBDYXRhcmFjdHMgYXQgYWxsLrABALgBARjwuMytkDMg8LjMrZAzKnAKITF6R19QckdXbzBWM3JTOWZDZTdLdS1Vanl0R1hXQkpQQxJLCgp0ZXh0L3BsYWluEj1EUkFGVF9UcmFuc2Zvcm1pbmcgQ2FyZSBJbiBBTUQgYW5kIERNRV9EMl8yMDI1QXVnMjVfQVhPTi5kb2N4MABCM1tbW251bGwsbnVsbCxudWxsLCI2MjQ2Il0sW251bGwsbnVsbCxudWxsLCI2MzM1Il1dXSLhBQoLQUFBQnFiUnEwTW8SmgQKC0FBQUJxYlJxME1vEgtBQUFCcWJScTBNbxpGCgl0ZXh0L2h0bWwSOU1heWJlIGFkZCBhIHNob3J0IGV4cGxhbmF0aW9uIGFzIHRvIHdoeSB0aGF0IGlzIHRoZSBjYXNlLiJHCgp0ZXh0L3BsYWluEjlNYXliZSBhZGQgYSBzaG9ydCBleHBsYW5hdGlvbiBhcyB0byB3aHkgdGhhdCBpcyB0aGUgY2FzZS4qjAEKCkpvenNlZiBHYWwaYS8vbGgzLmdvb2dsZXVzZXJjb250ZW50LmNvbS9hLS9BTFYtVWpWRjhxckVteHQteS1CV1NONGQ2dDVRVFIyaXdBM0FYdlN3RzJiSlUzeklDLWkwcWJrPXM1MC1jLWstbm8iFTEwNTA0MDE4Njc5NDAxMTMyMzI1MygAOABIADCgwIOqkDM4oMCDqpAzWgxqMHA3N29odWRncjlycwoKSm96c2VmIEdhbBpjCmEvL2xoMy5nb29nbGV1c2VyY29udGVudC5jb20vYS0vQUxWLVVqVkY4cXJFbXh0LXktQldTTjRkNnQ1UVRSMml3QTNBWHZTd0cyYkpVM3pJQy1pMHFiaz1zNTAtYy1rLW5vIAB4AJoBBggAEAAYAKoBOxI5TWF5YmUgYWRkIGEgc2hvcnQgZXhwbGFuYXRpb24gYXMgdG8gd2h5IHRoYXQgaXMgdGhlIGNhc2UusAEAuAEBGKDAg6qQMyCgwIOqkDMqcAohMXpHX1ByR1dvMFYzclM5ZkNlN0t1LVVqeXRHWFdCSlBDEksKCnRleHQvcGxhaW4SPURSQUZUX1RyYW5zZm9ybWluZyBDYXJlIEluIEFNRCBhbmQgRE1FX0QyXzIwMjVBdWcyNV9BWE9OLmRvY3gwAEIzW1tbbnVsbCxudWxsLG51bGwsIjQzMjEiXSxbbnVsbCxudWxsLG51bGwsIjQ0NDEiXV1dItAICgtBQUFCckFvY1M1QRKmBQoLQUFBQnJBb2NTNUESC0FBQUJyQW9jUzVBGmMKCXRleHQvaHRtbBJWVGhpcyBpcyBub3QgdHJ1ZS4gQWxsIHRoZSBpbm5vdmF0aXZlIHRyZWF0bWVudHMgYXJlIHJlaW1idXJzZW1lbnQgd2l0aCBubyBsaW1pdGF0aW9ucy4iZAoKdGV4dC9wbGFpbhJWVGhpcyBpcyBub3QgdHJ1ZS4gQWxsIHRoZSBpbm5vdmF0aXZlIHRyZWF0bWVudHMgYXJlIHJlaW1idXJzZW1lbnQgd2l0aCBubyBsaW1pdGF0aW9ucy4qkQEKD0RpYW5hIERpbWl0cm92YRphLy9saDMuZ29vZ2xldXNlcmNvbnRlbnQuY29tL2EvQUNnOG9jTDJobjd6aW5xUEh5Um5VMGdObHRhRURBOUp5Vm1SY0ZMc0V3VXlmYXE4QnVjUmRMbWw9czUwLWMtay1ubyIVMTEwNjg4ODg3NTIzOTM2MDk4MDM5KAE4AEgAMOL1hruTMzjWv7rLkzNKKQoJdGV4dC9odG1sEhxkaWFnbm9zdGljIHRvb2xzIGlzIGxpbWl0ZWQsWgxnOXJjMjFpM2ltdGlyeAoPRGlhbmEgRGltaXRyb3ZhGmMKYS8vbGgzLmdvb2dsZXVzZXJjb250ZW50LmNvbS9hL0FDZzhvY0wyaG43emlucVBIeVJuVTBnTmx0YUVEQTlKeVZtUmNGTHNFd1V5ZmFxOEJ1Y1JkTG1sPXM1MC1jLWstbm8gAXgAmgEGCAAQABgAqgFYElZUaGlzIGlzIG5vdCB0cnVlLiBBbGwgdGhlIGlubm92YXRpdmUgdHJlYXRtZW50cyBhcmUgcmVpbWJ1cnNlbWVudCB3aXRoIG5vIGxpbWl0YXRpb25zLrABALgBABji9Ya7kzMg1r+6y5MzKnAKITF6R19QckdXbzBWM3JTOWZDZTdLdS1Vanl0R1hXQkpQQxJLCgp0ZXh0L3BsYWluEj1EUkFGVF9UcmFuc2Zvcm1pbmcgQ2FyZSBJbiBBTUQgYW5kIERNRV9EMl8yMDI1QXVnMjVfQVhPTi5kb2N4MABClQJbW1s2NzYsNjEsbnVsbCwzNzA5MF0sWzY3NiwxMTgsbnVsbCwzNzE0MF1dLG51bGwsW1tbMjMsW1swLjcxNTk2NjM4NjU1NDYyMTksMC4yNjg0MDg1NTEwNjg4ODM2LDAuODM4NjU1NDYyMTg0ODc0LDAuMjgzODQ3OTgwOTk3NjI0N11dXSxbMjMsW1swLjM4OTkxNTk2NjM4NjU1NDYsMC4yOTA5NzM4NzE3MzM5NjY3NywwLjQ5MjQzNjk3NDc4OTkxNiwwLjMwNjQxMzMwMTY2MjcwNzg2XV1dXV0sIjBCMnVEVWdaMDZLR3hUQ3RNTVdvdmVWYzBUM2czYjFWU0wxSmpjMk52ZEU1b1RuaFJQUSJdIsYICgtBQUFCckFvY1M1RRKcBQoLQUFBQnJBb2NTNUUSC0FBQUJyQW9jUzVFGm4KCXRleHQvaHRtbBJhQWNjZXNzIHRvIGFkdmFuY2UgZGlhZ25vc3RpYyB0b29sc8KgIGlzIGdvb2QsIGJ1dCByZXF1aXJlcyBvdXQtb2YtcG9ja2V0IHBheW1lbnRzIGJ5IHRoZSBwYXRpZW50cyJvCgp0ZXh0L3BsYWluEmFBY2Nlc3MgdG8gYWR2YW5jZSBkaWFnbm9zdGljIHRvb2xzwqAgaXMgZ29vZCwgYnV0IHJlcXVpcmVzIG91dC1vZi1wb2NrZXQgcGF5bWVudHMgYnkgdGhlIHBhdGllbnRzKpEBCg9EaWFuYSBEaW1pdHJvdmEaYS8vbGgzLmdvb2dsZXVzZXJjb250ZW50LmNvbS9hL0FDZzhvY0wyaG43emlucVBIeVJuVTBnTmx0YUVEQTlKeVZtUmNGTHNFd1V5ZmFxOEJ1Y1JkTG1sPXM1MC1jLWstbm8iFTExMDY4ODg4NzUyMzkzNjA5ODAzOSgBOABIADDW74u7kzM4y+22y5MzWgw4eWZpcTN4MzI2OG1yeAoPRGlhbmEgRGltaXRyb3ZhGmMKYS8vbGgzLmdvb2dsZXVzZXJjb250ZW50LmNvbS9hL0FDZzhvY0wyaG43emlucVBIeVJuVTBnTmx0YUVEQTlKeVZtUmNGTHNFd1V5ZmFxOEJ1Y1JkTG1sPXM1MC1jLWstbm8gAXgAmgEGCAAQABgAqgFjEmFBY2Nlc3MgdG8gYWR2YW5jZSBkaWFnbm9zdGljIHRvb2xzwqAgaXMgZ29vZCwgYnV0IHJlcXVpcmVzIG91dC1vZi1wb2NrZXQgcGF5bWVudHMgYnkgdGhlIHBhdGllbnRzsAEAuAEAGNbvi7uTMyDL7bbLkzMqcAohMXpHX1ByR1dvMFYzclM5ZkNlN0t1LVVqeXRHWFdCSlBDEksKCnRleHQvcGxhaW4SPURSQUZUX1RyYW5zZm9ybWluZyBDYXJlIEluIEFNRCBhbmQgRE1FX0QyXzIwMjVBdWcyNV9BWE9OLmRvY3gwAEKVAltbWzY3NiwxOSxudWxsLDM3MDU0XSxbNjc2LDU2LG51bGwsMzcwODddXSxudWxsLFtbWzIzLFtbMC4zNzk4MzE5MzI3NzMxMDkyLDAuMjY4NDA4NTUxMDY4ODgzNiwwLjQ2MDUwNDIwMTY4MDY3MjI0LDAuMjgzODQ3OTgwOTk3NjI0N11dXSxbMjMsW1swLjYxNTEyNjA1MDQyMDE2ODEsMC4yNjg0MDg1NTEwNjg4ODM2LDAuNjczOTQ5NTc5ODMxOTMyOCwwLjI4Mzg0Nzk4MDk5NzYyNDddXV1dXSwiMEIydURVZ1owNktHeFRDdE1NV292ZVZjMFQzZzNiMVZTTDFKamMyTnZkRTVvVG5oUlBRIl0iyQIKC0FBQUJxWnZqMzNnEpMCCgtBQUFCcVp2ajMzZxILQUFBQnFadmozM2caDQoJdGV4dC9odG1sEgAiDgoKdGV4dC9wbGFpbhIAKhsiFTEwNTA0MDE4Njc5NDAxMTMyMzI1MygAOAAw0Y7VsZAzONW/1rGQM0pzCiRhcHBsaWNhdGlvbi92bmQuZ29vZ2xlLWFwcHMuZG9jcy5tZHMaS8LX2uQBRQpDCiAKGk5vIGNvdmVyYWdlIGZvciBETUUgYW5kIERSEAEYABIdChdTdHJvbmcgcG9saWN5IGFsaWdubWVudBABGAAYAVoMaThneG9jM3V5OTBncgIgAHgAggEUc3VnZ2VzdC5tbDU0amNiOTM3ZXaaAQYIABAAGACwAQC4AQAY0Y7VsZAzINW/1rGQMzAAQhRzdWdnZXN0Lm1sNTRqY2I5MzdldiKcAgoLQUFBQnFiUnEwTmMS5gEKC0FBQUJxYlJxME5jEgtBQUFCcWJScTBOYxoNCgl0ZXh0L2h0bWwSACIOCgp0ZXh0L3BsYWluEgAqGyIVMTA1MDQwMTg2Nzk0MDExMzIzMjUzKAA4ADCXmM2qkDM40aPNqpAzSkYKJGFwcGxpY2F0aW9uL3ZuZC5nb29nbGUtYXBwcy5kb2NzLm1kcxoewtfa5AEYChYKBwoBcxABGAASCQoDaW5nEAEYABgBWgx3a2tlYm11bnh3czNyAiAAeACCARRzdWdnZXN0LjU4dWRiNzl5cmw0ZZoBBggAEAAYALABALgBABiXmM2qkDMg0aPNqpAzMABCFHN1Z2dlc3QuNTh1ZGI3OXlybDRlIuwCCgtBQUFCcWJScTBQbxK2AgoLQUFBQnFiUnEwUG8SC0FBQUJxYlJxMFBvGg0KCXRleHQvaHRtbBIAIg4KCnRleHQvcGxhaW4SACobIhUxMDUwNDAxODY3OTQwMTEzMjMyNTMoADgAMKLUwquQMzjs2cKrkDNKlQEKJGFwcGxpY2F0aW9uL3ZuZC5nb29nbGUtYXBwcy5kb2NzLm1kcxptwtfa5AFnEmUKYQpbVGhlc2UgZmlndXJlcyBpbGx1c3RyYXRlIGJvdGggdGhlIGh1bWFuIGFuZCBzeXN0ZW1pYyBidXJkZW4gb2YgdW5kaWFnbm9zZWQgcmV0aW5hbCBkaXNlYXNlLhABGAAQAVoMY2k5aGdkOGhqZGpncgIgAHgAggEUc3VnZ2VzdC52NWI3anY2YjZ3bzaaAQYIABAAGACwAQC4AQAYotTCq5AzIOzZwquQMzAAQhRzdWdnZXN0LnY1YjdqdjZiNndvNiL0AgoLQUFBQnFiUnEwU1ESvgIKC0FBQUJxYlJxMFNREgtBQUFCcWJScTBTURoNCgl0ZXh0L2h0bWwSACIOCgp0ZXh0L3BsYWluEgAqGyIVMTA1MDQwMTg2Nzk0MDExMzIzMjUzKAA4ADDNu7eskDM43a3erJAzSp4BCiRhcHBsaWNhdGlvbi92bmQuZ29vZ2xlLWFwcHMuZG9jcy5tZHMadsLX2uQBcBpuCmoKZFVzaW5nIHRoaXMgc3BhY2UgdG8gbWFrZSBzb21lIGdlbmVyYWwgZWRpdG9yaWFsIGNvbW1lbnRzOiBUaGUgcGFwZXIgaXMgc3RpbGwgbWlzc2luZyBhIHNob3J0ICgzIHBhZ2UQARgBEAFaC3RlMDFoaW5kdzF6cgIgAHgAggEUc3VnZ2VzdC40MGJmdzNuNjRqNGGaAQYIABAAGACwAQC4AQAYzbu3rJAzIN2t3qyQMzAAQhRzdWdnZXN0LjQwYmZ3M242NGo0YSKbAgoLQUFBQnFiUnEwTmsS5QEKC0FBQUJxYlJxME5rEgtBQUFCcWJScTBOaxoNCgl0ZXh0L2h0bWwSACIOCgp0ZXh0L3BsYWluEgAqGyIVMTA1MDQwMTg2Nzk0MDExMzIzMjUzKAA4ADCU9s6qkDM40b7PqpAzSkUKJGFwcGxpY2F0aW9uL3ZuZC5nb29nbGUtYXBwcy5kb2NzLm1kcxodwtfa5AEXEhUKEQoLcGVyaW9kcyBhbmQQARgAEAFaDDNsZnY2bno3MDdiZ3ICIAB4AIIBFHN1Z2dlc3QuZ3FvNXU1eHpnNzNwmgEGCAAQABgAsAEAuAEAGJT2zqqQMyDRvs+qkDMwAEIUc3VnZ2VzdC5ncW81dTV4emc3M3Ai9QIKC0FBQUJxWnZqMzNjEr8CCgtBQUFCcVp2ajMzYxILQUFBQnFadmozM2MaDQoJdGV4dC9odG1sEgAiDgoKdGV4dC9wbGFpbhIAKhsiFTEwNTA0MDE4Njc5NDAxMTMyMzI1MygAOAAwtYrTsZAzONiQ07GQM0qeAQokYXBwbGljYXRpb24vdm5kLmdvb2dsZS1hcHBzLmRvY3MubWRzGnbC19rkAXAabgpqCmRBIENFRSBDYXNlIHN0dWR5IGZyb20gU2xvdmVuaWEgc2hvdWxkIGJlIGluY2x1ZGVkIC0gV2Ugd2lsbCBnZXQgdGhlIGRldGFpbHMgZnJvbSB0aGUgU2xvdmVuaWFuIFJvY2hlEAEYARABWgw4eDRobG1qNHRza3JyAiAAeACCARRzdWdnZXN0LmU3dDVmNjZwcXdwZpoBBggAEAAYALABALgBABi1itOxkDMg2JDTsZAzMABCFHN1Z2dlc3QuZTd0NWY2NnBxd3BmIrICCgtBQUFCcWJScTBPSRL8AQoLQUFBQnFiUnEwT0kSC0FBQUJxYlJxME9JGg0KCXRleHQvaHRtbBIAIg4KCnRleHQvcGxhaW4SACobIhUxMDUwNDAxODY3OTQwMTEzMjMyNTMoADgAMP+G5aqQMzjfi+aqkDNKXAokYXBwbGljYXRpb24vdm5kLmdvb2dsZS1hcHBzLmRvY3MubWRzGjTC19rkAS4KLAoRCgtBTUQgYW5kIERNRRABGAASFQoPcmV0aW5hbCBkaXNlYXNlEAEYABgBWgxpdGplMHVvd284cWNyAiAAeACCARRzdWdnZXN0LmkyMzl3eW9uc2QxcZoBBggAEAAYALABALgBABj/huWqkDMg34vmqpAzMABCFHN1Z2dlc3QuaTIzOXd5b25zZDFxIpECCgtBQUFCcWJScTBOZxLbAQoLQUFBQnFiUnEwTmcSC0FBQUJxYlJxME5nGg0KCXRleHQvaHRtbBIAIg4KCnRleHQvcGxhaW4SACobIhUxMDUwNDAxODY3OTQwMTEzMjMyNTMoADgAMKvlzqqQMzjA6s6qkDNKOwokYXBwbGljYXRpb24vdm5kLmdvb2dsZS1hcHBzLmRvY3MubWRzGhPC19rkAQ0aCwoHCgEsEAEYABABWgx1YTNweXhjdnBmczNyAiAAeACCARRzdWdnZXN0LnY3NGc0YzFibTQwcJoBBggAEAAYALABALgBABir5c6qkDMgwOrOqpAzMABCFHN1Z2dlc3Qudjc0ZzRjMWJtNDBwIpoCCgtBQUFCcWJScTBPNBLkAQoLQUFBQnFiUnEwTzQSC0FBQUJxYlJxME80Gg0KCXRleHQvaHRtbBIAIg4KCnRleHQvcGxhaW4SACobIhUxMDUwNDAxODY3OTQwMTEzMjMyNTMoADgAMKq7iKuQMzjNwIirkDNKRAokYXBwbGljYXRpb24vdm5kLmdvb2dsZS1hcHBzLmRvY3MubWRzGhzC19rkARYKFAoHCgEyEAEYABIHCgEzEAEYABgBWgxtM2N5YTFkeWxrZ2dyAiAAeACCARRzdWdnZXN0Lnk3N3ExYXdsbmt5aJoBBggAEAAYALABALgBABiqu4irkDMgzcCIq5AzMABCFHN1Z2dlc3QueTc3cTFhd2xua3loIrICCgtBQUFCcWJScTBNMBL8AQoLQUFBQnFiUnEwTTASC0FBQUJxYlJxME0wGg0KCXRleHQvaHRtbBIAIg4KCnRleHQvcGxhaW4SACobIhUxMDUwNDAxODY3OTQwMTEzMjMyNTMoADgAMOHMkaqQMzj7m5SqkDNKXAokYXBwbGljYXRpb24vdm5kLmdvb2dsZS1hcHBzLmRvY3MubWRzGjTC19rkAS4aLAooCiJmcm9tIDIwMjIgcHVibGlzaGVkIGluIFRoZSBMYW5jZXQsEAEYABABWgwzb2p3cTVoeGN0b2pyAiAAeACCARRzdWdnZXN0LmRrNmVybDQwNWV1cpoBBggAEAAYALABALgBABjhzJGqkDMg+5uUqpAzMABCFHN1Z2dlc3QuZGs2ZXJsNDA1ZXVyIsoCCgtBQUFCcWJScTBOWRKUAgoLQUFBQnFiUnEwTlkSC0FBQUJxYlJxME5ZGg0KCXRleHQvaHRtbBIAIg4KCnRleHQvcGxhaW4SACobIhUxMDUwNDAxODY3OTQwMTEzMjMyNTMoADgAMJyozKqQMzjf28yqkDNKdAokYXBwbGljYXRpb24vdm5kLmdvb2dsZS1hcHBzLmRvY3MubWRzGkzC19rkAUYKRAoHCgFFEAEYABI3CjFJdCBtYXkgYmUgcG9zc2libGUgdG8gYXJyZXN0IHRoaXMgdHJlbmQgdGhyb3VnaCBlEAEYABgBWgw3Z2cwdzh1YjcweWdyAiAAeACCARRzdWdnZXN0LmkzZnlxbjdkNXJtdJoBBggAEAAYALABALgBABicqMyqkDMg39vMqpAzMABCFHN1Z2dlc3QuaTNmeXFuN2Q1cm10IpQCCgtBQUFCcWJScTBNdxLeAQoLQUFBQnFiUnEwTXcSC0FBQUJxYlJxME13Gg0KCXRleHQvaHRtbBIAIg4KCnRleHQvcGxhaW4SACobIhUxMDUwNDAxODY3OTQwMTEzMjMyNTMoADgAMJWgkaqQMzjRpZGqkDNKPgokYXBwbGljYXRpb24vdm5kLmdvb2dsZS1hcHBzLmRvY3MubWRzGhbC19rkARASDgoKCgQyMDIyEAEYABABWgxlejIyNjQ4eXJxYXhyAiAAeACCARRzdWdnZXN0LnExN2RlcG4xbDN0OZoBBggAEAAYALABALgBABiVoJGqkDMg0aWRqpAzMABCFHN1Z2dlc3QucTE3ZGVwbjFsM3Q5IpQCCgtBQUFCcWJScTBPZxLeAQoLQUFBQnFiUnEwT2cSC0FBQUJxYlJxME9nGg0KCXRleHQvaHRtbBIAIg4KCnRleHQvcGxhaW4SACobIhUxMDUwNDAxODY3OTQwMTEzMjMyNTMoADgAMKTY7qqQMzjU3e6qkDNKPgokYXBwbGljYXRpb24vdm5kLmdvb2dsZS1hcHBzLmRvY3MubWRzGhbC19rkARASDgoKCgTigJRvEAEYABABWgxhZzY4Z201c3FvZXhyAiAAeACCARRzdWdnZXN0Lmlld2pjOGtpMWZqYpoBBggAEAAYALABALgBABik2O6qkDMg1N3uqpAzMABCFHN1Z2dlc3QuaWV3amM4a2kxZmpiIqYCCgtBQUFCcWJScTBNYxLwAQoLQUFBQnFiUnEwTWMSC0FBQUJxYlJxME1jGg0KCXRleHQvaHRtbBIAIg4KCnRleHQvcGxhaW4SACobIhUxMDUwNDAxODY3OTQwMTEzMjMyNTMoADgAMPPa9qmQMzi69/apkDNKUAokYXBwbGljYXRpb24vdm5kLmdvb2dsZS1hcHBzLmRvY3MubWRzGijC19rkASIKIAoKCgRsb3NzEAEYABIQCgppbXBhaXJtZW50EAEYABgBWgxja2lhNW1oYjNxaTVyAiAAeACCARRzdWdnZXN0Ljk0ZXM3ZHl4Z2ozM5oBBggAEAAYALABALgBABjz2vapkDMguvf2qZAzMABCFHN1Z2dlc3QuOTRlczdkeXhnajMzIp4CCgtBQUFCcWJScTBOSRLoAQoLQUFBQnFiUnEwTkkSC0FBQUJxYlJxME5JGg0KCXRleHQvaHRtbBIAIg4KCnRleHQvcGxhaW4SACobIhUxMDUwNDAxODY3OTQwMTEzMjMyNTMoADgAMN6goKqQMzi33KCqkDNKSAokYXBwbGljYXRpb24vdm5kLmdvb2dsZS1hcHBzLmRvY3MubWRzGiDC19rkARoaGAoUCg5pbXBhaXJtZW50IGFuZBABGAAQAVoMNjZrODNjaTJiZmpscgIgAHgAggEUc3VnZ2VzdC5jbnJpdnBpaWQ3aXKaAQYIABAAGACwAQC4AQAY3qCgqpAzILfcoKqQMzAAQhRzdWdnZXN0LmNucml2cGlpZDdpciKSAgoLQUFBQnFiUnEwU1kS3AEKC0FBQUJxYlJxMFNZEgtBQUFCcWJScTBTWRoNCgl0ZXh0L2h0bWwSACIOCgp0ZXh0L3BsYWluEgAqGyIVMTA1MDQwMTg2Nzk0MDExMzIzMjUzKAA4ADDj6riskDM47fLPsZAzSjwKJGFwcGxpY2F0aW9uL3ZuZC5nb29nbGUtYXBwcy5kb2NzLm1kcxoUwtfa5AEOIgQIURABIgYIDAgNEAFaDHY1NWlnbGFpMTVlN3ICIAB4AIIBFHN1Z2dlc3Qud2cwY3R2cGlva3RzmgEGCAAQABgAsAEAuAEAGOPquKyQMyDt8s+xkDMwAEIUc3VnZ2VzdC53ZzBjdHZwaW9rdHMivwIKC0FBQUJxYlJxME9VEokCCgtBQUFCcWJScTBPVRILQUFBQnFiUnEwT1UaDQoJdGV4dC9odG1sEgAiDgoKdGV4dC9wbGFpbhIAKhsiFTEwNTA0MDE4Njc5NDAxMTMyMzI1MygAOAAwrcfnqpAzOOnX6aqQM0ppCiRhcHBsaWNhdGlvbi92bmQuZ29vZ2xlLWFwcHMuZG9jcy5tZHMaQcLX2uQBOxo5CjUKL3dlbGwgYXMgc3lzdGVtaWMgZGlzZWFzZSBjb250cm9sIG1lY2hhbmlzbXMsIGFzEAEYABABWgx4aW9yeXAxYnZlYmlyAiAAeACCARRzdWdnZXN0LjIzaDcwZ2Uwazh3aZoBBggAEAAYALABALgBABitx+eqkDMg6dfpqpAzMABCFHN1Z2dlc3QuMjNoNzBnZTBrOHdpIqkCCgtBQUFCcWJScTBOdxLzAQoLQUFBQnFiUnEwTncSC0FBQUJxYlJxME53Gg0KCXRleHQvaHRtbBIAIg4KCnRleHQvcGxhaW4SACobIhUxMDUwNDAxODY3OTQwMTEzMjMyNTMoADgAMKSO06qQMzjyy9OqkDNKUwokYXBwbGljYXRpb24vdm5kLmdvb2dsZS1hcHBzLmRvY3MubWRzGivC19rkASUKIwoUCg5ETUUsIGFuZCB0aGVpchABGAASCQoDaXRzEAEYABgBWgxocjN2ZXpvb3A2MDByAiAAeACCARRzdWdnZXN0LmxmejBobDUwemR5ZZoBBggAEAAYALABALgBABikjtOqkDMg8svTqpAzMABCFHN1Z2dlc3QubGZ6MGhsNTB6ZHllMg5oLjJjNGh5a2liNDkyczIOaC5zcTAzMmI3cnAwc24yDmgucDN0d3I4NG5vYm94Mg1oLnhudDlyYXR0NWRzMg5oLjVtYW9hdDR0MDY0NDIOaC4ycW9tajFzNnNsMGIyDmgucnZpY2Zwdjd4cWkyMg5oLnplMjl1N2x4M2ltbDIOaC55NWtvZzd5bzRhZ3gyDmguMmo3Y3NtZHB5c29nOABqIgoUc3VnZ2VzdC5tbDU0amNiOTM3ZXYSCkpvenNlZiBHYWxqIgoUc3VnZ2VzdC5qaDBlMXk3N2p6NGwSCkpvenNlZiBHYWxqIgoUc3VnZ2VzdC41OHVkYjc5eXJsNGUSCkpvenNlZiBHYWxqIgoUc3VnZ2VzdC52NWI3anY2YjZ3bzYSCkpvenNlZiBHYWxqIgoUc3VnZ2VzdC40MGJmdzNuNjRqNGESCkpvenNlZiBHYWxqIgoUc3VnZ2VzdC5ncW81dTV4emc3M3ASCkpvenNlZiBHYWxqIgoUc3VnZ2VzdC5lN3Q1ZjY2cHF3cGYSCkpvenNlZiBHYWxqIgoUc3VnZ2VzdC5pMjM5d3lvbnNkMXESCkpvenNlZiBHYWxqIgoUc3VnZ2VzdC52NzRnNGMxYm00MHASCkpvenNlZiBHYWxqIgoUc3VnZ2VzdC55NzdxMWF3bG5reWgSCkpvenNlZiBHYWxqIgoUc3VnZ2VzdC5kazZlcmw0MDVldXISCkpvenNlZiBHYWxqIgoUc3VnZ2VzdC5pM2Z5cW43ZDVybXQSCkpvenNlZiBHYWxqIgoUc3VnZ2VzdC5xMTdkZXBuMWwzdDkSCkpvenNlZiBHYWxqIgoUc3VnZ2VzdC5pZXdqYzhraTFmamISCkpvenNlZiBHYWxqIgoUc3VnZ2VzdC45NGVzN2R5eGdqMzMSCkpvenNlZiBHYWxqIgoUc3VnZ2VzdC5jbnJpdnBpaWQ3aXISCkpvenNlZiBHYWxqIgoUc3VnZ2VzdC53ZzBjdHZwaW9rdHMSCkpvenNlZiBHYWxqIgoUc3VnZ2VzdC4yM2g3MGdlMGs4d2kSCkpvenNlZiBHYWxqIgoUc3VnZ2VzdC5sZnowaGw1MHpkeWUSCkpvenNlZiBHYWxyITF6R19QckdXbzBWM3JTOWZDZTdLdS1Vanl0R1hXQkpQQ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162752-5c83-4868-b709-1878b4f3d5ef">
      <Terms xmlns="http://schemas.microsoft.com/office/infopath/2007/PartnerControls"/>
    </lcf76f155ced4ddcb4097134ff3c332f>
    <TaxCatchAll xmlns="236654b6-f13b-431f-a51b-8aab129a92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8123AC90A4D64587FA631AA1BF948A" ma:contentTypeVersion="11" ma:contentTypeDescription="Create a new document." ma:contentTypeScope="" ma:versionID="b5b7edb1817c7a3cdfcf30bbff2fea0c">
  <xsd:schema xmlns:xsd="http://www.w3.org/2001/XMLSchema" xmlns:xs="http://www.w3.org/2001/XMLSchema" xmlns:p="http://schemas.microsoft.com/office/2006/metadata/properties" xmlns:ns2="73162752-5c83-4868-b709-1878b4f3d5ef" xmlns:ns3="236654b6-f13b-431f-a51b-8aab129a9234" targetNamespace="http://schemas.microsoft.com/office/2006/metadata/properties" ma:root="true" ma:fieldsID="295c918de426b3a9cdd4071b696f1d3b" ns2:_="" ns3:_="">
    <xsd:import namespace="73162752-5c83-4868-b709-1878b4f3d5ef"/>
    <xsd:import namespace="236654b6-f13b-431f-a51b-8aab129a92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62752-5c83-4868-b709-1878b4f3d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6fd882d-41c0-48ce-b6d6-813d06570bb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6654b6-f13b-431f-a51b-8aab129a923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8d7a207-41e3-427e-bc90-920f17fe94aa}" ma:internalName="TaxCatchAll" ma:showField="CatchAllData" ma:web="236654b6-f13b-431f-a51b-8aab129a92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69A247-04B0-4F8C-AE4B-6EB8616CE2B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B65E93F6-8AE5-4469-9479-61907B8795DC}">
  <ds:schemaRefs>
    <ds:schemaRef ds:uri="http://schemas.microsoft.com/office/2006/metadata/properties"/>
    <ds:schemaRef ds:uri="http://schemas.microsoft.com/office/infopath/2007/PartnerControls"/>
    <ds:schemaRef ds:uri="73162752-5c83-4868-b709-1878b4f3d5ef"/>
    <ds:schemaRef ds:uri="236654b6-f13b-431f-a51b-8aab129a9234"/>
  </ds:schemaRefs>
</ds:datastoreItem>
</file>

<file path=customXml/itemProps4.xml><?xml version="1.0" encoding="utf-8"?>
<ds:datastoreItem xmlns:ds="http://schemas.openxmlformats.org/officeDocument/2006/customXml" ds:itemID="{942E4617-5BBA-4E3C-B181-31690FD0C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62752-5c83-4868-b709-1878b4f3d5ef"/>
    <ds:schemaRef ds:uri="236654b6-f13b-431f-a51b-8aab129a9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a13f27d-9eb3-4ee2-8d90-bc97573dc0fb}" enabled="1" method="Standard" siteId="{76cfb400-ab12-485f-8c0c-dca5fe3c2fdd}" removed="0"/>
</clbl:labelList>
</file>

<file path=docProps/app.xml><?xml version="1.0" encoding="utf-8"?>
<Properties xmlns="http://schemas.openxmlformats.org/officeDocument/2006/extended-properties" xmlns:vt="http://schemas.openxmlformats.org/officeDocument/2006/docPropsVTypes">
  <Template>Normal</Template>
  <TotalTime>17</TotalTime>
  <Pages>33</Pages>
  <Words>10151</Words>
  <Characters>57865</Characters>
  <Application>Microsoft Office Word</Application>
  <DocSecurity>8</DocSecurity>
  <Lines>482</Lines>
  <Paragraphs>135</Paragraphs>
  <ScaleCrop>false</ScaleCrop>
  <Company/>
  <LinksUpToDate>false</LinksUpToDate>
  <CharactersWithSpaces>67881</CharactersWithSpaces>
  <SharedDoc>false</SharedDoc>
  <HLinks>
    <vt:vector size="258" baseType="variant">
      <vt:variant>
        <vt:i4>4194319</vt:i4>
      </vt:variant>
      <vt:variant>
        <vt:i4>150</vt:i4>
      </vt:variant>
      <vt:variant>
        <vt:i4>0</vt:i4>
      </vt:variant>
      <vt:variant>
        <vt:i4>5</vt:i4>
      </vt:variant>
      <vt:variant>
        <vt:lpwstr>https://www.asrs.org/</vt:lpwstr>
      </vt:variant>
      <vt:variant>
        <vt:lpwstr/>
      </vt:variant>
      <vt:variant>
        <vt:i4>7929966</vt:i4>
      </vt:variant>
      <vt:variant>
        <vt:i4>147</vt:i4>
      </vt:variant>
      <vt:variant>
        <vt:i4>0</vt:i4>
      </vt:variant>
      <vt:variant>
        <vt:i4>5</vt:i4>
      </vt:variant>
      <vt:variant>
        <vt:lpwstr>https://www.erdc.info/</vt:lpwstr>
      </vt:variant>
      <vt:variant>
        <vt:lpwstr/>
      </vt:variant>
      <vt:variant>
        <vt:i4>1900624</vt:i4>
      </vt:variant>
      <vt:variant>
        <vt:i4>144</vt:i4>
      </vt:variant>
      <vt:variant>
        <vt:i4>0</vt:i4>
      </vt:variant>
      <vt:variant>
        <vt:i4>5</vt:i4>
      </vt:variant>
      <vt:variant>
        <vt:lpwstr>https://www.evicr.net/about/organisation/</vt:lpwstr>
      </vt:variant>
      <vt:variant>
        <vt:lpwstr/>
      </vt:variant>
      <vt:variant>
        <vt:i4>3932268</vt:i4>
      </vt:variant>
      <vt:variant>
        <vt:i4>141</vt:i4>
      </vt:variant>
      <vt:variant>
        <vt:i4>0</vt:i4>
      </vt:variant>
      <vt:variant>
        <vt:i4>5</vt:i4>
      </vt:variant>
      <vt:variant>
        <vt:lpwstr>https://doi.org/10.1101/2024.10.25.24316160</vt:lpwstr>
      </vt:variant>
      <vt:variant>
        <vt:lpwstr/>
      </vt:variant>
      <vt:variant>
        <vt:i4>2097203</vt:i4>
      </vt:variant>
      <vt:variant>
        <vt:i4>138</vt:i4>
      </vt:variant>
      <vt:variant>
        <vt:i4>0</vt:i4>
      </vt:variant>
      <vt:variant>
        <vt:i4>5</vt:i4>
      </vt:variant>
      <vt:variant>
        <vt:lpwstr>https://doi.org/10.1007/s40123-024-01011-0</vt:lpwstr>
      </vt:variant>
      <vt:variant>
        <vt:lpwstr/>
      </vt:variant>
      <vt:variant>
        <vt:i4>786462</vt:i4>
      </vt:variant>
      <vt:variant>
        <vt:i4>135</vt:i4>
      </vt:variant>
      <vt:variant>
        <vt:i4>0</vt:i4>
      </vt:variant>
      <vt:variant>
        <vt:i4>5</vt:i4>
      </vt:variant>
      <vt:variant>
        <vt:lpwstr>https://doi.org/10.1186/s12913-017-2143-6</vt:lpwstr>
      </vt:variant>
      <vt:variant>
        <vt:lpwstr/>
      </vt:variant>
      <vt:variant>
        <vt:i4>655362</vt:i4>
      </vt:variant>
      <vt:variant>
        <vt:i4>132</vt:i4>
      </vt:variant>
      <vt:variant>
        <vt:i4>0</vt:i4>
      </vt:variant>
      <vt:variant>
        <vt:i4>5</vt:i4>
      </vt:variant>
      <vt:variant>
        <vt:lpwstr>https://stm.fi/en/rehabilitation</vt:lpwstr>
      </vt:variant>
      <vt:variant>
        <vt:lpwstr/>
      </vt:variant>
      <vt:variant>
        <vt:i4>2293823</vt:i4>
      </vt:variant>
      <vt:variant>
        <vt:i4>129</vt:i4>
      </vt:variant>
      <vt:variant>
        <vt:i4>0</vt:i4>
      </vt:variant>
      <vt:variant>
        <vt:i4>5</vt:i4>
      </vt:variant>
      <vt:variant>
        <vt:lpwstr>https://doi.org/10.1007/s00417-024-06397-3</vt:lpwstr>
      </vt:variant>
      <vt:variant>
        <vt:lpwstr/>
      </vt:variant>
      <vt:variant>
        <vt:i4>1638491</vt:i4>
      </vt:variant>
      <vt:variant>
        <vt:i4>126</vt:i4>
      </vt:variant>
      <vt:variant>
        <vt:i4>0</vt:i4>
      </vt:variant>
      <vt:variant>
        <vt:i4>5</vt:i4>
      </vt:variant>
      <vt:variant>
        <vt:lpwstr>https://www.ncbi.nlm.nih.gov/books/NBK458293/</vt:lpwstr>
      </vt:variant>
      <vt:variant>
        <vt:lpwstr/>
      </vt:variant>
      <vt:variant>
        <vt:i4>5570649</vt:i4>
      </vt:variant>
      <vt:variant>
        <vt:i4>123</vt:i4>
      </vt:variant>
      <vt:variant>
        <vt:i4>0</vt:i4>
      </vt:variant>
      <vt:variant>
        <vt:i4>5</vt:i4>
      </vt:variant>
      <vt:variant>
        <vt:lpwstr>https://doi.org/10.1016/j.preteyeres.2020.100900</vt:lpwstr>
      </vt:variant>
      <vt:variant>
        <vt:lpwstr/>
      </vt:variant>
      <vt:variant>
        <vt:i4>1441881</vt:i4>
      </vt:variant>
      <vt:variant>
        <vt:i4>120</vt:i4>
      </vt:variant>
      <vt:variant>
        <vt:i4>0</vt:i4>
      </vt:variant>
      <vt:variant>
        <vt:i4>5</vt:i4>
      </vt:variant>
      <vt:variant>
        <vt:lpwstr>https://doi.org/10.1167/iovs.06-0220</vt:lpwstr>
      </vt:variant>
      <vt:variant>
        <vt:lpwstr/>
      </vt:variant>
      <vt:variant>
        <vt:i4>1048667</vt:i4>
      </vt:variant>
      <vt:variant>
        <vt:i4>117</vt:i4>
      </vt:variant>
      <vt:variant>
        <vt:i4>0</vt:i4>
      </vt:variant>
      <vt:variant>
        <vt:i4>5</vt:i4>
      </vt:variant>
      <vt:variant>
        <vt:lpwstr>https://doi.org/10.1167/iovs.12-10557</vt:lpwstr>
      </vt:variant>
      <vt:variant>
        <vt:lpwstr/>
      </vt:variant>
      <vt:variant>
        <vt:i4>589851</vt:i4>
      </vt:variant>
      <vt:variant>
        <vt:i4>114</vt:i4>
      </vt:variant>
      <vt:variant>
        <vt:i4>0</vt:i4>
      </vt:variant>
      <vt:variant>
        <vt:i4>5</vt:i4>
      </vt:variant>
      <vt:variant>
        <vt:lpwstr>https://doi.org/10.1007/s00592-017-0974-1</vt:lpwstr>
      </vt:variant>
      <vt:variant>
        <vt:lpwstr/>
      </vt:variant>
      <vt:variant>
        <vt:i4>327756</vt:i4>
      </vt:variant>
      <vt:variant>
        <vt:i4>111</vt:i4>
      </vt:variant>
      <vt:variant>
        <vt:i4>0</vt:i4>
      </vt:variant>
      <vt:variant>
        <vt:i4>5</vt:i4>
      </vt:variant>
      <vt:variant>
        <vt:lpwstr>https://doi.org/10.1136/bjophthalmol-2014-305702</vt:lpwstr>
      </vt:variant>
      <vt:variant>
        <vt:lpwstr/>
      </vt:variant>
      <vt:variant>
        <vt:i4>983110</vt:i4>
      </vt:variant>
      <vt:variant>
        <vt:i4>108</vt:i4>
      </vt:variant>
      <vt:variant>
        <vt:i4>0</vt:i4>
      </vt:variant>
      <vt:variant>
        <vt:i4>5</vt:i4>
      </vt:variant>
      <vt:variant>
        <vt:lpwstr>https://doi.org/10.3928/23258160-20180731-06</vt:lpwstr>
      </vt:variant>
      <vt:variant>
        <vt:lpwstr/>
      </vt:variant>
      <vt:variant>
        <vt:i4>2949178</vt:i4>
      </vt:variant>
      <vt:variant>
        <vt:i4>105</vt:i4>
      </vt:variant>
      <vt:variant>
        <vt:i4>0</vt:i4>
      </vt:variant>
      <vt:variant>
        <vt:i4>5</vt:i4>
      </vt:variant>
      <vt:variant>
        <vt:lpwstr>https://doi.org/10.1038/s41433-022-02246-8</vt:lpwstr>
      </vt:variant>
      <vt:variant>
        <vt:lpwstr/>
      </vt:variant>
      <vt:variant>
        <vt:i4>4587608</vt:i4>
      </vt:variant>
      <vt:variant>
        <vt:i4>102</vt:i4>
      </vt:variant>
      <vt:variant>
        <vt:i4>0</vt:i4>
      </vt:variant>
      <vt:variant>
        <vt:i4>5</vt:i4>
      </vt:variant>
      <vt:variant>
        <vt:lpwstr>https://doi.org/10.2147/OPTH.S119199</vt:lpwstr>
      </vt:variant>
      <vt:variant>
        <vt:lpwstr/>
      </vt:variant>
      <vt:variant>
        <vt:i4>2490490</vt:i4>
      </vt:variant>
      <vt:variant>
        <vt:i4>99</vt:i4>
      </vt:variant>
      <vt:variant>
        <vt:i4>0</vt:i4>
      </vt:variant>
      <vt:variant>
        <vt:i4>5</vt:i4>
      </vt:variant>
      <vt:variant>
        <vt:lpwstr>https://eupati.eu/</vt:lpwstr>
      </vt:variant>
      <vt:variant>
        <vt:lpwstr/>
      </vt:variant>
      <vt:variant>
        <vt:i4>2424892</vt:i4>
      </vt:variant>
      <vt:variant>
        <vt:i4>96</vt:i4>
      </vt:variant>
      <vt:variant>
        <vt:i4>0</vt:i4>
      </vt:variant>
      <vt:variant>
        <vt:i4>5</vt:i4>
      </vt:variant>
      <vt:variant>
        <vt:lpwstr>https://doi.org/10.1038/s41433-023-02825-8</vt:lpwstr>
      </vt:variant>
      <vt:variant>
        <vt:lpwstr/>
      </vt:variant>
      <vt:variant>
        <vt:i4>6422590</vt:i4>
      </vt:variant>
      <vt:variant>
        <vt:i4>93</vt:i4>
      </vt:variant>
      <vt:variant>
        <vt:i4>0</vt:i4>
      </vt:variant>
      <vt:variant>
        <vt:i4>5</vt:i4>
      </vt:variant>
      <vt:variant>
        <vt:lpwstr>https://doi.org/10.1186/s12889-024-21047-x</vt:lpwstr>
      </vt:variant>
      <vt:variant>
        <vt:lpwstr/>
      </vt:variant>
      <vt:variant>
        <vt:i4>4521993</vt:i4>
      </vt:variant>
      <vt:variant>
        <vt:i4>90</vt:i4>
      </vt:variant>
      <vt:variant>
        <vt:i4>0</vt:i4>
      </vt:variant>
      <vt:variant>
        <vt:i4>5</vt:i4>
      </vt:variant>
      <vt:variant>
        <vt:lpwstr>https://doi.org/10.1016/S2214-109X(13)70145-1</vt:lpwstr>
      </vt:variant>
      <vt:variant>
        <vt:lpwstr/>
      </vt:variant>
      <vt:variant>
        <vt:i4>1507409</vt:i4>
      </vt:variant>
      <vt:variant>
        <vt:i4>87</vt:i4>
      </vt:variant>
      <vt:variant>
        <vt:i4>0</vt:i4>
      </vt:variant>
      <vt:variant>
        <vt:i4>5</vt:i4>
      </vt:variant>
      <vt:variant>
        <vt:lpwstr>https://www.iapb.org/wp-content/uploads/2021/07/UNFoV-Resolution-Summary-July2021.pdf</vt:lpwstr>
      </vt:variant>
      <vt:variant>
        <vt:lpwstr/>
      </vt:variant>
      <vt:variant>
        <vt:i4>4325465</vt:i4>
      </vt:variant>
      <vt:variant>
        <vt:i4>84</vt:i4>
      </vt:variant>
      <vt:variant>
        <vt:i4>0</vt:i4>
      </vt:variant>
      <vt:variant>
        <vt:i4>5</vt:i4>
      </vt:variant>
      <vt:variant>
        <vt:lpwstr>https://doi.org/10.1016/j.ophtha.2012.10.036</vt:lpwstr>
      </vt:variant>
      <vt:variant>
        <vt:lpwstr/>
      </vt:variant>
      <vt:variant>
        <vt:i4>1245275</vt:i4>
      </vt:variant>
      <vt:variant>
        <vt:i4>81</vt:i4>
      </vt:variant>
      <vt:variant>
        <vt:i4>0</vt:i4>
      </vt:variant>
      <vt:variant>
        <vt:i4>5</vt:i4>
      </vt:variant>
      <vt:variant>
        <vt:lpwstr>https://doi.org/10.1167/iovs.13-13458</vt:lpwstr>
      </vt:variant>
      <vt:variant>
        <vt:lpwstr/>
      </vt:variant>
      <vt:variant>
        <vt:i4>4128876</vt:i4>
      </vt:variant>
      <vt:variant>
        <vt:i4>78</vt:i4>
      </vt:variant>
      <vt:variant>
        <vt:i4>0</vt:i4>
      </vt:variant>
      <vt:variant>
        <vt:i4>5</vt:i4>
      </vt:variant>
      <vt:variant>
        <vt:lpwstr>https://doi.org/10.1167/iovs.65.4.1</vt:lpwstr>
      </vt:variant>
      <vt:variant>
        <vt:lpwstr/>
      </vt:variant>
      <vt:variant>
        <vt:i4>720974</vt:i4>
      </vt:variant>
      <vt:variant>
        <vt:i4>75</vt:i4>
      </vt:variant>
      <vt:variant>
        <vt:i4>0</vt:i4>
      </vt:variant>
      <vt:variant>
        <vt:i4>5</vt:i4>
      </vt:variant>
      <vt:variant>
        <vt:lpwstr>https://doi.org/10.1136/bjophthalmol-2017-311258</vt:lpwstr>
      </vt:variant>
      <vt:variant>
        <vt:lpwstr/>
      </vt:variant>
      <vt:variant>
        <vt:i4>3670116</vt:i4>
      </vt:variant>
      <vt:variant>
        <vt:i4>72</vt:i4>
      </vt:variant>
      <vt:variant>
        <vt:i4>0</vt:i4>
      </vt:variant>
      <vt:variant>
        <vt:i4>5</vt:i4>
      </vt:variant>
      <vt:variant>
        <vt:lpwstr>https://www.macular.org/about-macular-degeneration/wet-macular-degeneration</vt:lpwstr>
      </vt:variant>
      <vt:variant>
        <vt:lpwstr/>
      </vt:variant>
      <vt:variant>
        <vt:i4>4522071</vt:i4>
      </vt:variant>
      <vt:variant>
        <vt:i4>69</vt:i4>
      </vt:variant>
      <vt:variant>
        <vt:i4>0</vt:i4>
      </vt:variant>
      <vt:variant>
        <vt:i4>5</vt:i4>
      </vt:variant>
      <vt:variant>
        <vt:lpwstr>https://doi.org/10.1097/APO.0000000000001051</vt:lpwstr>
      </vt:variant>
      <vt:variant>
        <vt:lpwstr/>
      </vt:variant>
      <vt:variant>
        <vt:i4>720910</vt:i4>
      </vt:variant>
      <vt:variant>
        <vt:i4>66</vt:i4>
      </vt:variant>
      <vt:variant>
        <vt:i4>0</vt:i4>
      </vt:variant>
      <vt:variant>
        <vt:i4>5</vt:i4>
      </vt:variant>
      <vt:variant>
        <vt:lpwstr>https://doi.org/10.1016/S0140-6736(21)00579-2</vt:lpwstr>
      </vt:variant>
      <vt:variant>
        <vt:lpwstr/>
      </vt:variant>
      <vt:variant>
        <vt:i4>4849670</vt:i4>
      </vt:variant>
      <vt:variant>
        <vt:i4>63</vt:i4>
      </vt:variant>
      <vt:variant>
        <vt:i4>0</vt:i4>
      </vt:variant>
      <vt:variant>
        <vt:i4>5</vt:i4>
      </vt:variant>
      <vt:variant>
        <vt:lpwstr>https://doi.org/10.1016/S2214-109X(20)30488-5</vt:lpwstr>
      </vt:variant>
      <vt:variant>
        <vt:lpwstr/>
      </vt:variant>
      <vt:variant>
        <vt:i4>1114185</vt:i4>
      </vt:variant>
      <vt:variant>
        <vt:i4>60</vt:i4>
      </vt:variant>
      <vt:variant>
        <vt:i4>0</vt:i4>
      </vt:variant>
      <vt:variant>
        <vt:i4>5</vt:i4>
      </vt:variant>
      <vt:variant>
        <vt:lpwstr>https://www.iapb.org/vision-atlas</vt:lpwstr>
      </vt:variant>
      <vt:variant>
        <vt:lpwstr/>
      </vt:variant>
      <vt:variant>
        <vt:i4>2162729</vt:i4>
      </vt:variant>
      <vt:variant>
        <vt:i4>57</vt:i4>
      </vt:variant>
      <vt:variant>
        <vt:i4>0</vt:i4>
      </vt:variant>
      <vt:variant>
        <vt:i4>5</vt:i4>
      </vt:variant>
      <vt:variant>
        <vt:lpwstr>https://doi.org/10.46697/001c.92945</vt:lpwstr>
      </vt:variant>
      <vt:variant>
        <vt:lpwstr/>
      </vt:variant>
      <vt:variant>
        <vt:i4>786534</vt:i4>
      </vt:variant>
      <vt:variant>
        <vt:i4>54</vt:i4>
      </vt:variant>
      <vt:variant>
        <vt:i4>0</vt:i4>
      </vt:variant>
      <vt:variant>
        <vt:i4>5</vt:i4>
      </vt:variant>
      <vt:variant>
        <vt:lpwstr>https://www.ilo.org/sites/default/files/wcmsp5/groups/public/@ed_protect/@protrav/@safework/documents/publication/wcms_892937.pdf</vt:lpwstr>
      </vt:variant>
      <vt:variant>
        <vt:lpwstr/>
      </vt:variant>
      <vt:variant>
        <vt:i4>983134</vt:i4>
      </vt:variant>
      <vt:variant>
        <vt:i4>51</vt:i4>
      </vt:variant>
      <vt:variant>
        <vt:i4>0</vt:i4>
      </vt:variant>
      <vt:variant>
        <vt:i4>5</vt:i4>
      </vt:variant>
      <vt:variant>
        <vt:lpwstr>https://www.retina-international.org/resources/action4amd</vt:lpwstr>
      </vt:variant>
      <vt:variant>
        <vt:lpwstr/>
      </vt:variant>
      <vt:variant>
        <vt:i4>1638471</vt:i4>
      </vt:variant>
      <vt:variant>
        <vt:i4>48</vt:i4>
      </vt:variant>
      <vt:variant>
        <vt:i4>0</vt:i4>
      </vt:variant>
      <vt:variant>
        <vt:i4>5</vt:i4>
      </vt:variant>
      <vt:variant>
        <vt:lpwstr>https://www.who.int/publications/i/item/9789241516570</vt:lpwstr>
      </vt:variant>
      <vt:variant>
        <vt:lpwstr/>
      </vt:variant>
      <vt:variant>
        <vt:i4>7995500</vt:i4>
      </vt:variant>
      <vt:variant>
        <vt:i4>45</vt:i4>
      </vt:variant>
      <vt:variant>
        <vt:i4>0</vt:i4>
      </vt:variant>
      <vt:variant>
        <vt:i4>5</vt:i4>
      </vt:variant>
      <vt:variant>
        <vt:lpwstr>https://www.iapb.world/2030_in_sight</vt:lpwstr>
      </vt:variant>
      <vt:variant>
        <vt:lpwstr/>
      </vt:variant>
      <vt:variant>
        <vt:i4>1114161</vt:i4>
      </vt:variant>
      <vt:variant>
        <vt:i4>38</vt:i4>
      </vt:variant>
      <vt:variant>
        <vt:i4>0</vt:i4>
      </vt:variant>
      <vt:variant>
        <vt:i4>5</vt:i4>
      </vt:variant>
      <vt:variant>
        <vt:lpwstr/>
      </vt:variant>
      <vt:variant>
        <vt:lpwstr>_Toc210130063</vt:lpwstr>
      </vt:variant>
      <vt:variant>
        <vt:i4>1114161</vt:i4>
      </vt:variant>
      <vt:variant>
        <vt:i4>32</vt:i4>
      </vt:variant>
      <vt:variant>
        <vt:i4>0</vt:i4>
      </vt:variant>
      <vt:variant>
        <vt:i4>5</vt:i4>
      </vt:variant>
      <vt:variant>
        <vt:lpwstr/>
      </vt:variant>
      <vt:variant>
        <vt:lpwstr>_Toc210130062</vt:lpwstr>
      </vt:variant>
      <vt:variant>
        <vt:i4>1114161</vt:i4>
      </vt:variant>
      <vt:variant>
        <vt:i4>26</vt:i4>
      </vt:variant>
      <vt:variant>
        <vt:i4>0</vt:i4>
      </vt:variant>
      <vt:variant>
        <vt:i4>5</vt:i4>
      </vt:variant>
      <vt:variant>
        <vt:lpwstr/>
      </vt:variant>
      <vt:variant>
        <vt:lpwstr>_Toc210130061</vt:lpwstr>
      </vt:variant>
      <vt:variant>
        <vt:i4>1114161</vt:i4>
      </vt:variant>
      <vt:variant>
        <vt:i4>20</vt:i4>
      </vt:variant>
      <vt:variant>
        <vt:i4>0</vt:i4>
      </vt:variant>
      <vt:variant>
        <vt:i4>5</vt:i4>
      </vt:variant>
      <vt:variant>
        <vt:lpwstr/>
      </vt:variant>
      <vt:variant>
        <vt:lpwstr>_Toc210130060</vt:lpwstr>
      </vt:variant>
      <vt:variant>
        <vt:i4>1179697</vt:i4>
      </vt:variant>
      <vt:variant>
        <vt:i4>14</vt:i4>
      </vt:variant>
      <vt:variant>
        <vt:i4>0</vt:i4>
      </vt:variant>
      <vt:variant>
        <vt:i4>5</vt:i4>
      </vt:variant>
      <vt:variant>
        <vt:lpwstr/>
      </vt:variant>
      <vt:variant>
        <vt:lpwstr>_Toc210130059</vt:lpwstr>
      </vt:variant>
      <vt:variant>
        <vt:i4>1179697</vt:i4>
      </vt:variant>
      <vt:variant>
        <vt:i4>8</vt:i4>
      </vt:variant>
      <vt:variant>
        <vt:i4>0</vt:i4>
      </vt:variant>
      <vt:variant>
        <vt:i4>5</vt:i4>
      </vt:variant>
      <vt:variant>
        <vt:lpwstr/>
      </vt:variant>
      <vt:variant>
        <vt:lpwstr>_Toc210130058</vt:lpwstr>
      </vt:variant>
      <vt:variant>
        <vt:i4>1179697</vt:i4>
      </vt:variant>
      <vt:variant>
        <vt:i4>2</vt:i4>
      </vt:variant>
      <vt:variant>
        <vt:i4>0</vt:i4>
      </vt:variant>
      <vt:variant>
        <vt:i4>5</vt:i4>
      </vt:variant>
      <vt:variant>
        <vt:lpwstr/>
      </vt:variant>
      <vt:variant>
        <vt:lpwstr>_Toc210130057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Mallia</dc:creator>
  <cp:keywords/>
  <cp:lastModifiedBy>Saku Seneviratne</cp:lastModifiedBy>
  <cp:revision>17</cp:revision>
  <dcterms:created xsi:type="dcterms:W3CDTF">2025-10-01T11:47:00Z</dcterms:created>
  <dcterms:modified xsi:type="dcterms:W3CDTF">2025-10-01T16:51:00Z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0x0101002A8123AC90A4D64587FA631AA1BF948A</vt:lpwstr>
  </property>
  <property fmtid="{D5CDD505-2E9C-101B-9397-08002B2CF9AE}" pid="3" name="MediaServiceImageTags">
    <vt:lpwstr/>
  </property>
</Properties>
</file>